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outlineLvl w:val="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采购需求</w:t>
      </w:r>
    </w:p>
    <w:p>
      <w:pPr>
        <w:adjustRightInd w:val="0"/>
        <w:snapToGrid w:val="0"/>
        <w:spacing w:before="156" w:beforeLines="50" w:line="360" w:lineRule="auto"/>
        <w:rPr>
          <w:rFonts w:hint="eastAsia" w:ascii="宋体" w:hAnsi="宋体"/>
          <w:b/>
          <w:bCs/>
          <w:sz w:val="28"/>
          <w:szCs w:val="28"/>
        </w:rPr>
      </w:pPr>
    </w:p>
    <w:p>
      <w:pPr>
        <w:adjustRightInd w:val="0"/>
        <w:snapToGrid w:val="0"/>
        <w:spacing w:before="156" w:beforeLines="50"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一、采购项目概况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.</w:t>
      </w:r>
      <w:r>
        <w:rPr>
          <w:rFonts w:hint="eastAsia" w:ascii="宋体" w:hAnsi="宋体" w:cs="宋体"/>
          <w:b/>
          <w:bCs/>
          <w:sz w:val="21"/>
          <w:szCs w:val="21"/>
        </w:rPr>
        <w:t>项目名称：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湖南食品药品职业学院2023—2025级新生体检服务项目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eastAsia="zh-CN"/>
        </w:rPr>
        <w:t>.</w:t>
      </w:r>
      <w:r>
        <w:rPr>
          <w:rFonts w:hint="eastAsia" w:ascii="宋体" w:hAnsi="宋体" w:cs="宋体"/>
          <w:b/>
          <w:bCs/>
          <w:sz w:val="21"/>
          <w:szCs w:val="21"/>
        </w:rPr>
        <w:t>采购项目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概况</w:t>
      </w:r>
      <w:r>
        <w:rPr>
          <w:rFonts w:hint="eastAsia" w:ascii="宋体" w:hAnsi="宋体" w:cs="宋体"/>
          <w:b/>
          <w:bCs/>
          <w:sz w:val="21"/>
          <w:szCs w:val="21"/>
        </w:rPr>
        <w:t>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</w:rPr>
        <w:t>本项目为按实结算项目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sz w:val="21"/>
          <w:szCs w:val="21"/>
        </w:rPr>
        <w:t>不超过70元/人</w:t>
      </w:r>
      <w:r>
        <w:rPr>
          <w:rFonts w:hint="eastAsia" w:ascii="宋体" w:hAnsi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合同履行期限3年，费用按中标单价按实结算，具体服务时间以采购人通知为准。（2023－2025级新生体检服务以每年3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sz w:val="21"/>
          <w:szCs w:val="21"/>
        </w:rPr>
        <w:t>00人为基数，按照实际报到参加体检的新生人人数为准。）</w:t>
      </w:r>
    </w:p>
    <w:p>
      <w:pPr>
        <w:adjustRightInd w:val="0"/>
        <w:snapToGrid w:val="0"/>
        <w:spacing w:before="156" w:before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二、服务内容</w:t>
      </w:r>
      <w:bookmarkStart w:id="0" w:name="_GoBack"/>
      <w:bookmarkEnd w:id="0"/>
    </w:p>
    <w:p>
      <w:pPr>
        <w:pStyle w:val="7"/>
        <w:spacing w:before="0" w:beforeAutospacing="0" w:after="0" w:afterAutospacing="0" w:line="400" w:lineRule="exact"/>
        <w:ind w:firstLine="420" w:firstLineChars="200"/>
        <w:rPr>
          <w:rFonts w:hint="eastAsia"/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根据文件,遵照《民法典》、《医疗机构管理条例》及《健康体检管理暂行规定》等有关法律法规规定，完成以下体检项目,中标单位所有项目需提供上门服务：</w:t>
      </w:r>
    </w:p>
    <w:p>
      <w:pPr>
        <w:pStyle w:val="7"/>
        <w:spacing w:before="0" w:beforeAutospacing="0" w:after="0" w:afterAutospacing="0" w:line="400" w:lineRule="exact"/>
        <w:ind w:firstLine="480" w:firstLineChars="200"/>
        <w:rPr>
          <w:kern w:val="2"/>
        </w:rPr>
      </w:pPr>
    </w:p>
    <w:tbl>
      <w:tblPr>
        <w:tblStyle w:val="8"/>
        <w:tblW w:w="89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6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检查内容及临床意义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内科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检查血压、心率，评估心脑血管疾病危险因素，排除内科疾病或发现内科疾病的征兆。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外科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检查身高、体重、四肢、关节，通过触诊及物理检查，以了解外科系统的基本情况。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眼科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检查视力、辨色。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甲肝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 xml:space="preserve">辅助诊断甲型肝炎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乙肝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检查人体是否感染乙肝病毒的乙肝病毒血清学标志物，辅助诊断乙型肝炎，可评估乙肝疫苗接种效果。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胸部正位-数字化摄影（DR）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检查两肺、心脏、纵隔、膈、胸膜，以及气管、支气管、肺部疾患，判断有无炎症、肿瘤等。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材料费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静脉采血费以及真空管2根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三、服务质量</w:t>
      </w:r>
    </w:p>
    <w:p>
      <w:pPr>
        <w:widowControl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一旦中标，保证按照合同协议中规定的工期内完成全部体检工作。</w:t>
      </w:r>
    </w:p>
    <w:p>
      <w:pPr>
        <w:widowControl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提供的健康体检服务符合中国法律法规的要求，符合卫生部《健康体检管理暂行规定》的相关规定。</w:t>
      </w:r>
    </w:p>
    <w:p>
      <w:pPr>
        <w:widowControl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双方在履行合同义务的过程中，若因在提供的健康体检服务质量上引起客户投诉，应积极应对，遵照国家相关规定和标准协调解决。</w:t>
      </w:r>
    </w:p>
    <w:p>
      <w:pPr>
        <w:widowControl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提供体检服务涉及医疗事故的，按照《侵权责任法》、《医疗纠纷预防与处理条例》等相关法律法规进行处理。</w:t>
      </w:r>
    </w:p>
    <w:p>
      <w:pPr>
        <w:widowControl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必须认真仔细完成体检工作，不遗漏检查项目，对每次健康体检的报告的真实性、准确性、及时性等负责，若由于我方体检结果错误引起相关责任及损失的，均由我方承担责任，且此种责任不因合同的解除或者终止而失效。</w:t>
      </w:r>
    </w:p>
    <w:p>
      <w:pPr>
        <w:widowControl/>
        <w:spacing w:line="400" w:lineRule="exact"/>
        <w:ind w:firstLine="42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若在规定体检项目和应有技术水平范围内，造成体检质量问题或者体检事故的，由此引起的体检人员人身损害均由我方承担责任、赔偿损失。</w:t>
      </w:r>
    </w:p>
    <w:p>
      <w:pPr>
        <w:adjustRightInd w:val="0"/>
        <w:snapToGrid w:val="0"/>
        <w:spacing w:before="156" w:beforeLines="50" w:line="360" w:lineRule="auto"/>
        <w:rPr>
          <w:rFonts w:hint="eastAsia" w:ascii="宋体" w:hAnsi="宋体" w:eastAsia="宋体" w:cs="Times New Roman"/>
          <w:b/>
          <w:bCs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</w:rPr>
        <w:t>四、其他</w:t>
      </w:r>
    </w:p>
    <w:p>
      <w:pPr>
        <w:spacing w:line="360" w:lineRule="exact"/>
        <w:ind w:left="2" w:leftChars="1" w:firstLine="420" w:firstLineChars="200"/>
        <w:rPr>
          <w:bCs/>
          <w:sz w:val="21"/>
          <w:szCs w:val="21"/>
        </w:rPr>
      </w:pPr>
      <w:r>
        <w:rPr>
          <w:bCs/>
          <w:sz w:val="21"/>
          <w:szCs w:val="21"/>
        </w:rPr>
        <w:t>1. 服务期限及地点</w:t>
      </w:r>
    </w:p>
    <w:p>
      <w:pPr>
        <w:spacing w:line="360" w:lineRule="exact"/>
        <w:ind w:firstLine="420" w:firstLineChars="200"/>
        <w:rPr>
          <w:bCs/>
          <w:sz w:val="21"/>
          <w:szCs w:val="21"/>
        </w:rPr>
      </w:pPr>
      <w:r>
        <w:rPr>
          <w:bCs/>
          <w:sz w:val="21"/>
          <w:szCs w:val="21"/>
        </w:rPr>
        <w:t>（1）服务期限：</w:t>
      </w:r>
      <w:r>
        <w:rPr>
          <w:sz w:val="21"/>
          <w:szCs w:val="21"/>
        </w:rPr>
        <w:t>具体时间以采购人通知为准</w:t>
      </w:r>
    </w:p>
    <w:p>
      <w:pPr>
        <w:spacing w:line="360" w:lineRule="exact"/>
        <w:ind w:firstLine="420" w:firstLineChars="200"/>
        <w:rPr>
          <w:bCs/>
          <w:sz w:val="21"/>
          <w:szCs w:val="21"/>
        </w:rPr>
      </w:pPr>
      <w:r>
        <w:rPr>
          <w:bCs/>
          <w:sz w:val="21"/>
          <w:szCs w:val="21"/>
        </w:rPr>
        <w:t>（2）服务地点：</w:t>
      </w:r>
      <w:r>
        <w:rPr>
          <w:rFonts w:hint="eastAsia"/>
          <w:bCs/>
          <w:sz w:val="21"/>
          <w:szCs w:val="21"/>
        </w:rPr>
        <w:t>湖南食品药品职</w:t>
      </w:r>
      <w:r>
        <w:rPr>
          <w:rFonts w:hint="eastAsia" w:ascii="宋体" w:hAnsi="宋体" w:cs="宋体"/>
          <w:sz w:val="21"/>
          <w:szCs w:val="21"/>
        </w:rPr>
        <w:t>业学院含浦、洞井校区内。</w:t>
      </w:r>
    </w:p>
    <w:p>
      <w:pPr>
        <w:spacing w:line="360" w:lineRule="exact"/>
        <w:ind w:left="2" w:leftChars="1" w:firstLine="420" w:firstLineChars="200"/>
        <w:rPr>
          <w:bCs/>
          <w:sz w:val="21"/>
          <w:szCs w:val="21"/>
        </w:rPr>
      </w:pPr>
      <w:r>
        <w:rPr>
          <w:bCs/>
          <w:sz w:val="21"/>
          <w:szCs w:val="21"/>
        </w:rPr>
        <w:t>2. 结算方法</w:t>
      </w:r>
    </w:p>
    <w:p>
      <w:pPr>
        <w:spacing w:line="360" w:lineRule="auto"/>
        <w:ind w:firstLine="420" w:firstLineChars="200"/>
        <w:rPr>
          <w:bCs/>
          <w:sz w:val="21"/>
          <w:szCs w:val="21"/>
        </w:rPr>
      </w:pPr>
      <w:r>
        <w:rPr>
          <w:bCs/>
          <w:sz w:val="21"/>
          <w:szCs w:val="21"/>
        </w:rPr>
        <w:t>（1）付款人：</w:t>
      </w:r>
      <w:r>
        <w:rPr>
          <w:rFonts w:hint="eastAsia"/>
          <w:bCs/>
          <w:sz w:val="21"/>
          <w:szCs w:val="21"/>
        </w:rPr>
        <w:t>湖南食品药品职业学院</w:t>
      </w:r>
    </w:p>
    <w:p>
      <w:pPr>
        <w:spacing w:line="360" w:lineRule="auto"/>
        <w:ind w:firstLine="420" w:firstLineChars="200"/>
        <w:rPr>
          <w:rFonts w:hint="eastAsia"/>
          <w:bCs/>
          <w:sz w:val="21"/>
          <w:szCs w:val="21"/>
        </w:rPr>
      </w:pPr>
      <w:r>
        <w:rPr>
          <w:bCs/>
          <w:sz w:val="21"/>
          <w:szCs w:val="21"/>
        </w:rPr>
        <w:t>（2）付款方式：</w:t>
      </w:r>
      <w:r>
        <w:rPr>
          <w:rFonts w:hint="eastAsia"/>
          <w:bCs/>
          <w:sz w:val="21"/>
          <w:szCs w:val="21"/>
        </w:rPr>
        <w:t>按年支付，每年学校新生全部体检完毕后支付当年体检费用100%，本项目按实结算，最后结算为单价*体检人数。</w:t>
      </w:r>
    </w:p>
    <w:p>
      <w:pPr>
        <w:pStyle w:val="2"/>
        <w:rPr>
          <w:rFonts w:hint="eastAsia"/>
        </w:rPr>
      </w:pPr>
    </w:p>
    <w:p>
      <w:pPr>
        <w:pStyle w:val="5"/>
        <w:spacing w:line="360" w:lineRule="auto"/>
        <w:ind w:right="23" w:rightChars="11"/>
        <w:jc w:val="center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对于上述项目要求，供应商应在投标文件中进行回应，作出承诺及说明。</w:t>
      </w:r>
    </w:p>
    <w:p>
      <w:pPr>
        <w:adjustRightInd w:val="0"/>
        <w:snapToGrid w:val="0"/>
        <w:spacing w:before="156" w:beforeLines="50" w:after="156" w:afterLines="50"/>
        <w:ind w:firstLine="420" w:firstLineChars="200"/>
        <w:rPr>
          <w:rFonts w:ascii="宋体" w:hAnsi="宋体"/>
          <w:szCs w:val="21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ZDNiOGI0ZTVjYTk5NzlmMjUyYjc4NWQwOWM1MGMifQ=="/>
  </w:docVars>
  <w:rsids>
    <w:rsidRoot w:val="1B0E1B85"/>
    <w:rsid w:val="0FAE09D7"/>
    <w:rsid w:val="1B0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widowControl/>
      <w:spacing w:afterLines="100" w:line="360" w:lineRule="auto"/>
      <w:ind w:left="200" w:firstLine="210" w:firstLineChars="200"/>
      <w:jc w:val="left"/>
    </w:pPr>
    <w:rPr>
      <w:kern w:val="28"/>
      <w:lang w:val="zh-CN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annotation subject"/>
    <w:basedOn w:val="5"/>
    <w:next w:val="1"/>
    <w:uiPriority w:val="0"/>
    <w:rPr>
      <w:b/>
      <w:bCs/>
    </w:rPr>
  </w:style>
  <w:style w:type="paragraph" w:styleId="5">
    <w:name w:val="annotation text"/>
    <w:basedOn w:val="1"/>
    <w:next w:val="1"/>
    <w:qFormat/>
    <w:uiPriority w:val="0"/>
    <w:pPr>
      <w:jc w:val="left"/>
    </w:pPr>
  </w:style>
  <w:style w:type="paragraph" w:customStyle="1" w:styleId="6">
    <w:name w:val="正文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967</Words>
  <Characters>997</Characters>
  <Lines>0</Lines>
  <Paragraphs>0</Paragraphs>
  <TotalTime>0</TotalTime>
  <ScaleCrop>false</ScaleCrop>
  <LinksUpToDate>false</LinksUpToDate>
  <CharactersWithSpaces>1041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2023-03-27T08:00:00Z</dcterms:created>
  <dc:creator>ponytail.~</dc:creator>
  <cp:lastModifiedBy>ponytail.~</cp:lastModifiedBy>
  <dcterms:modified xsi:type="dcterms:W3CDTF">2023-03-27T08:02:09Z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766E1167F7AA48858F7FF9496EA596DF</vt:lpwstr>
  </property>
</Properties>
</file>