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/>
        <w:spacing w:line="360" w:lineRule="auto"/>
        <w:jc w:val="center"/>
        <w:rPr>
          <w:rFonts w:hint="eastAsia"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深圳市海王药业有限公司</w:t>
      </w:r>
    </w:p>
    <w:p>
      <w:pPr>
        <w:rPr>
          <w:rFonts w:hint="eastAsia"/>
        </w:rPr>
      </w:pPr>
      <w:r>
        <w:drawing>
          <wp:inline distT="0" distB="0" distL="0" distR="0">
            <wp:extent cx="1895475" cy="523875"/>
            <wp:effectExtent l="0" t="0" r="9525" b="0"/>
            <wp:docPr id="1" name="图片 4" descr="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海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right="0" w:rightChars="0" w:firstLine="440" w:firstLineChars="200"/>
        <w:jc w:val="left"/>
        <w:textAlignment w:val="auto"/>
        <w:outlineLvl w:val="9"/>
        <w:rPr>
          <w:rFonts w:cs="宋体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118110</wp:posOffset>
            </wp:positionV>
            <wp:extent cx="3714115" cy="2748915"/>
            <wp:effectExtent l="19050" t="0" r="635" b="0"/>
            <wp:wrapSquare wrapText="bothSides"/>
            <wp:docPr id="2" name="图片 2" descr="海王工业城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海王工业城图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kern w:val="2"/>
        </w:rPr>
        <w:t>深圳海王药业有限公司</w:t>
      </w:r>
      <w:r>
        <w:rPr>
          <w:rFonts w:hint="eastAsia"/>
        </w:rPr>
        <w:t>成立于</w:t>
      </w:r>
      <w:r>
        <w:t>1989</w:t>
      </w:r>
      <w:r>
        <w:rPr>
          <w:rFonts w:hint="eastAsia"/>
        </w:rPr>
        <w:t>年，是海王集团下属的控股子公司，主要从事医药工业制造，是深圳市首批高新技术企业，广东省优秀高新技术企业，</w:t>
      </w:r>
      <w:r>
        <w:t>2009</w:t>
      </w:r>
      <w:r>
        <w:rPr>
          <w:rFonts w:hint="eastAsia"/>
        </w:rPr>
        <w:t>年被评定为国家高新技术企业。多年来海王药业立足制药产业前沿，积极推动科技创新。在医药产业领域不断开拓，极速成长，使公司拥有国内较高水平的医药产品研究开发体系、生产制造体系和市场营销体系。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/>
        <w:textAlignment w:val="auto"/>
        <w:outlineLvl w:val="9"/>
      </w:pPr>
      <w:r>
        <w:rPr>
          <w:rFonts w:hint="eastAsia"/>
        </w:rPr>
        <w:t>海王拥有现代化、多功能的大型制药工业基地</w:t>
      </w:r>
      <w:r>
        <w:t>—</w:t>
      </w:r>
      <w:r>
        <w:rPr>
          <w:rFonts w:hint="eastAsia"/>
        </w:rPr>
        <w:t>深圳海王工业城，于</w:t>
      </w:r>
      <w:r>
        <w:t>1998</w:t>
      </w:r>
      <w:r>
        <w:rPr>
          <w:rFonts w:hint="eastAsia"/>
        </w:rPr>
        <w:t>年通过</w:t>
      </w:r>
      <w:r>
        <w:t>GMP</w:t>
      </w:r>
      <w:r>
        <w:rPr>
          <w:rFonts w:hint="eastAsia"/>
        </w:rPr>
        <w:t>认证，海王工业城总占地面积</w:t>
      </w:r>
      <w:r>
        <w:t>3</w:t>
      </w:r>
      <w:r>
        <w:rPr>
          <w:rFonts w:hint="eastAsia"/>
        </w:rPr>
        <w:t>万</w:t>
      </w:r>
      <w:r>
        <w:t>2</w:t>
      </w:r>
      <w:r>
        <w:rPr>
          <w:rFonts w:hint="eastAsia"/>
        </w:rPr>
        <w:t>千平方米，目前海王工业城厂房备有冻干粉针剂、水针、片剂、胶囊剂、颗粒剂、胶囊剂、化学原料药等多条生产线，并已具备年产冻干粉针剂</w:t>
      </w:r>
      <w:r>
        <w:t>1000</w:t>
      </w:r>
      <w:r>
        <w:rPr>
          <w:rFonts w:hint="eastAsia"/>
        </w:rPr>
        <w:t>万支、片剂</w:t>
      </w:r>
      <w:r>
        <w:t>15</w:t>
      </w:r>
      <w:r>
        <w:rPr>
          <w:rFonts w:hint="eastAsia"/>
        </w:rPr>
        <w:t>亿片、胶囊剂</w:t>
      </w:r>
      <w:r>
        <w:t>5</w:t>
      </w:r>
      <w:r>
        <w:rPr>
          <w:rFonts w:hint="eastAsia"/>
        </w:rPr>
        <w:t>亿粒、颗粒剂</w:t>
      </w:r>
      <w:r>
        <w:t>1.5</w:t>
      </w:r>
      <w:r>
        <w:rPr>
          <w:rFonts w:hint="eastAsia"/>
        </w:rPr>
        <w:t>亿袋、水针剂</w:t>
      </w:r>
      <w:r>
        <w:t>1</w:t>
      </w:r>
      <w:r>
        <w:rPr>
          <w:rFonts w:hint="eastAsia"/>
        </w:rPr>
        <w:t>亿支的生产能力，据国内领先地位；</w:t>
      </w:r>
      <w:r>
        <w:t>2008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月份海王药业入选“广东省药品安全信用</w:t>
      </w:r>
      <w:r>
        <w:t>A</w:t>
      </w:r>
      <w:r>
        <w:rPr>
          <w:rFonts w:hint="eastAsia"/>
        </w:rPr>
        <w:t>级企业”。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 w:firstLine="660" w:firstLineChars="300"/>
        <w:textAlignment w:val="auto"/>
        <w:outlineLvl w:val="9"/>
        <w:rPr>
          <w:rFonts w:hint="eastAsia"/>
        </w:rPr>
      </w:pPr>
      <w:r>
        <w:rPr>
          <w:rFonts w:hint="eastAsia"/>
        </w:rPr>
        <w:t>经过多年发展，海王已基本形成了以大城市为结点，辐射全国市场的营销体系，建立了以市场策略创新为特色的多层面、立体化的营销网络，覆盖全国省份的全部主要城市。海王今后仍应坚持并大力发展医药和保健品产业内的产品系列化、多元化发展战略。通过不断地资源整合和专业细分，分离出特色化、专业化、系列化的品种销售体系。实现营销体系专业化，营销模式特色化，营销管理规范化。海王将以市场为导向，以科技为龙头，以创新为灵魂，瞄准世界高新技术产业前沿，把握国际高新技术发展趋势，利用已有的资源优势，建立健全医药产业系统，力争在不久的将来，成为一个国内领先、极具国际竞争意识与能力的技术创新型制药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 w:firstLine="4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公司自创建之日起，就非常注重营造尊重人、关心人、爱护人的良好氛围，营造鼓励人做事、支持人做成事的工作环境。以人为本，用人性化的管理和员工福利，形成无形的文化力量，凝聚海王人的归属感、积极性和创造性。相信在以人为本的企业文化中，能让你迅速的成长起来，实现自我的人生价值，期待你的加入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 w:firstLine="360" w:firstLineChars="15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地址：深圳市南山区高新科技园北区朗山二路16号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 w:firstLine="240" w:firstLineChars="100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公司网站：</w:t>
      </w:r>
      <w:r>
        <w:rPr>
          <w:sz w:val="24"/>
          <w:szCs w:val="24"/>
        </w:rPr>
        <w:t>www.</w:t>
      </w:r>
      <w:r>
        <w:rPr>
          <w:rFonts w:hint="eastAsia"/>
          <w:sz w:val="24"/>
          <w:szCs w:val="24"/>
        </w:rPr>
        <w:t>neptunus.com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right="0" w:rightChars="0" w:firstLine="220" w:firstLineChars="100"/>
        <w:textAlignment w:val="auto"/>
        <w:outlineLvl w:val="9"/>
        <w:rPr>
          <w:rFonts w:hint="eastAsia"/>
        </w:rPr>
      </w:pPr>
      <w:r>
        <w:rPr>
          <w:rFonts w:hint="eastAsia"/>
        </w:rPr>
        <w:t>一旦录用，您将获以下福利：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公司内部晋升机会；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每年享有不同幅度的年度调薪;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我们提供举办内训、外训，外部培训、网络学院、研修班等多种进修平台；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我们将为您提供愉快的工作环境、生活环境；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我们将为正式员工办理五险一金；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按国家法规排定节假日、婚假、产假、哺乳假、年休假等；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公司设有食堂合理搭配膳食，为员工供应免费营养美味的午餐；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提供免费上下班车接送，方便不同线路的员工轻松上下班；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我们提供每年一次的年度体检，保证员工身心健康；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709" w:right="0" w:rightChars="0" w:hanging="484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我们提供免费干净整洁的员工宿舍，热水器、全自动洗衣机、空调等一应俱全，让员工享 </w:t>
      </w:r>
    </w:p>
    <w:p>
      <w:pPr>
        <w:keepNext w:val="0"/>
        <w:keepLines w:val="0"/>
        <w:pageBreakBefore w:val="0"/>
        <w:widowControl w:val="0"/>
        <w:tabs>
          <w:tab w:val="left" w:pos="709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708" w:leftChars="322" w:right="0" w:rightChars="0" w:firstLine="120" w:firstLineChars="5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有温馨舒适的居住环境；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709" w:right="0" w:rightChars="0" w:hanging="484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享受公司各种福利、补贴（生日费、过节费、高温补、晚班补等）；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709" w:right="0" w:rightChars="0" w:hanging="484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公司不定期举行各种文娱活动，如海王春晚、司庆登山比赛、团队拓展、郊游、看电影、 </w:t>
      </w:r>
    </w:p>
    <w:p>
      <w:pPr>
        <w:keepNext w:val="0"/>
        <w:keepLines w:val="0"/>
        <w:pageBreakBefore w:val="0"/>
        <w:widowControl w:val="0"/>
        <w:tabs>
          <w:tab w:val="left" w:pos="709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708" w:leftChars="322" w:right="0" w:rightChars="0" w:firstLine="120" w:firstLineChars="5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羽毛球赛、技能PK、足球赛等各种活动；</w:t>
      </w:r>
    </w:p>
    <w:p>
      <w:pPr>
        <w:tabs>
          <w:tab w:val="left" w:pos="709"/>
          <w:tab w:val="left" w:pos="851"/>
        </w:tabs>
        <w:ind w:left="585"/>
        <w:rPr>
          <w:rFonts w:hint="eastAsia"/>
          <w:sz w:val="24"/>
          <w:szCs w:val="24"/>
        </w:rPr>
      </w:pPr>
    </w:p>
    <w:p>
      <w:pPr>
        <w:tabs>
          <w:tab w:val="left" w:pos="709"/>
          <w:tab w:val="left" w:pos="851"/>
        </w:tabs>
        <w:ind w:left="585"/>
        <w:jc w:val="center"/>
        <w:rPr>
          <w:rFonts w:hint="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招聘岗位</w:t>
      </w:r>
    </w:p>
    <w:tbl>
      <w:tblPr>
        <w:tblStyle w:val="7"/>
        <w:tblW w:w="9950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433"/>
        <w:gridCol w:w="2580"/>
        <w:gridCol w:w="3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24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  位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 数</w:t>
            </w:r>
          </w:p>
        </w:tc>
        <w:tc>
          <w:tcPr>
            <w:tcW w:w="2580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  求</w:t>
            </w:r>
          </w:p>
        </w:tc>
        <w:tc>
          <w:tcPr>
            <w:tcW w:w="3713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待   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24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实习生</w:t>
            </w:r>
          </w:p>
        </w:tc>
        <w:tc>
          <w:tcPr>
            <w:tcW w:w="2433" w:type="dxa"/>
            <w:vAlign w:val="center"/>
          </w:tcPr>
          <w:p>
            <w:pPr>
              <w:tabs>
                <w:tab w:val="left" w:pos="709"/>
                <w:tab w:val="left" w:pos="851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(男20名、女20名)</w:t>
            </w:r>
          </w:p>
        </w:tc>
        <w:tc>
          <w:tcPr>
            <w:tcW w:w="2580" w:type="dxa"/>
            <w:vAlign w:val="center"/>
          </w:tcPr>
          <w:p>
            <w:pPr>
              <w:ind w:left="21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大专或中专学历，制药、生物、机电一体化相关专业；综合素质优秀；</w:t>
            </w:r>
          </w:p>
        </w:tc>
        <w:tc>
          <w:tcPr>
            <w:tcW w:w="3713" w:type="dxa"/>
            <w:vAlign w:val="center"/>
          </w:tcPr>
          <w:p>
            <w:pPr>
              <w:tabs>
                <w:tab w:val="left" w:pos="709"/>
                <w:tab w:val="left" w:pos="851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实习补贴1500元/月，加班另算，表现优秀者转为正试员工，转正后工资综合在2500元/月以上， 并享受公司的各种福利，公司将统一报销学校至公司车费。</w:t>
            </w:r>
          </w:p>
        </w:tc>
      </w:tr>
    </w:tbl>
    <w:p>
      <w:pPr>
        <w:tabs>
          <w:tab w:val="left" w:pos="709"/>
          <w:tab w:val="left" w:pos="851"/>
        </w:tabs>
        <w:ind w:left="585"/>
        <w:rPr>
          <w:rFonts w:hint="eastAsia"/>
          <w:sz w:val="24"/>
          <w:szCs w:val="24"/>
        </w:rPr>
      </w:pPr>
    </w:p>
    <w:sectPr>
      <w:pgSz w:w="11906" w:h="16838"/>
      <w:pgMar w:top="1440" w:right="993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、"/>
      <w:lvlJc w:val="left"/>
      <w:pPr>
        <w:tabs>
          <w:tab w:val="left" w:pos="585"/>
        </w:tabs>
        <w:ind w:left="5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039B"/>
    <w:rsid w:val="000253A2"/>
    <w:rsid w:val="000376A9"/>
    <w:rsid w:val="00067EE6"/>
    <w:rsid w:val="00081924"/>
    <w:rsid w:val="0009198F"/>
    <w:rsid w:val="000C63A6"/>
    <w:rsid w:val="000E2A4B"/>
    <w:rsid w:val="00191BCC"/>
    <w:rsid w:val="001E044B"/>
    <w:rsid w:val="002E228A"/>
    <w:rsid w:val="00311368"/>
    <w:rsid w:val="003139E8"/>
    <w:rsid w:val="00323B43"/>
    <w:rsid w:val="0036663E"/>
    <w:rsid w:val="003D37D8"/>
    <w:rsid w:val="003E5B74"/>
    <w:rsid w:val="004358AB"/>
    <w:rsid w:val="00456A02"/>
    <w:rsid w:val="004A1803"/>
    <w:rsid w:val="00567FEE"/>
    <w:rsid w:val="00572A16"/>
    <w:rsid w:val="00577035"/>
    <w:rsid w:val="005813FE"/>
    <w:rsid w:val="005C37AF"/>
    <w:rsid w:val="00667278"/>
    <w:rsid w:val="006E6CDC"/>
    <w:rsid w:val="0073039B"/>
    <w:rsid w:val="007E0F6B"/>
    <w:rsid w:val="007F0E4E"/>
    <w:rsid w:val="00817B87"/>
    <w:rsid w:val="008B2824"/>
    <w:rsid w:val="008B728A"/>
    <w:rsid w:val="008B7726"/>
    <w:rsid w:val="00945823"/>
    <w:rsid w:val="00957642"/>
    <w:rsid w:val="00974DEF"/>
    <w:rsid w:val="009D66E1"/>
    <w:rsid w:val="00A1250B"/>
    <w:rsid w:val="00BC44C4"/>
    <w:rsid w:val="00C11EBA"/>
    <w:rsid w:val="00C33473"/>
    <w:rsid w:val="00C72E03"/>
    <w:rsid w:val="00CA7585"/>
    <w:rsid w:val="00CB6E6A"/>
    <w:rsid w:val="00D46A69"/>
    <w:rsid w:val="00DD1E61"/>
    <w:rsid w:val="00E2031A"/>
    <w:rsid w:val="00F411B0"/>
    <w:rsid w:val="00F63DD8"/>
    <w:rsid w:val="00FA42C3"/>
    <w:rsid w:val="77D015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widowControl w:val="0"/>
      <w:spacing w:after="0" w:line="312" w:lineRule="atLeast"/>
      <w:jc w:val="both"/>
      <w:textAlignment w:val="baseline"/>
    </w:pPr>
    <w:rPr>
      <w:rFonts w:ascii="宋体" w:hAnsi="Courier New" w:eastAsia="宋体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link w:val="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Arial Unicode MS" w:hAnsi="Arial Unicode MS" w:eastAsia="Arial Unicode MS" w:cs="Arial Unicode MS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HTML 预设格式 Char"/>
    <w:basedOn w:val="6"/>
    <w:link w:val="5"/>
    <w:qFormat/>
    <w:uiPriority w:val="0"/>
    <w:rPr>
      <w:rFonts w:ascii="Arial Unicode MS" w:hAnsi="Arial Unicode MS" w:eastAsia="Arial Unicode MS" w:cs="Arial Unicode MS"/>
    </w:rPr>
  </w:style>
  <w:style w:type="character" w:customStyle="1" w:styleId="12">
    <w:name w:val="日期 Char"/>
    <w:basedOn w:val="6"/>
    <w:link w:val="2"/>
    <w:qFormat/>
    <w:uiPriority w:val="0"/>
    <w:rPr>
      <w:rFonts w:ascii="宋体" w:hAnsi="Courier New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1169</Characters>
  <Lines>9</Lines>
  <Paragraphs>2</Paragraphs>
  <TotalTime>0</TotalTime>
  <ScaleCrop>false</ScaleCrop>
  <LinksUpToDate>false</LinksUpToDate>
  <CharactersWithSpaces>1372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2014-03-11T08:58:00Z</dcterms:created>
  <dc:creator>微软用户</dc:creator>
  <cp:lastModifiedBy>Administrator</cp:lastModifiedBy>
  <cp:lastPrinted>2013-11-06T01:52:00Z</cp:lastPrinted>
  <dcterms:modified xsi:type="dcterms:W3CDTF">2016-01-20T02:49:00Z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