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cs="仿宋_GB2312"/>
          <w:b/>
          <w:bCs/>
          <w:sz w:val="44"/>
          <w:szCs w:val="44"/>
        </w:rPr>
      </w:pPr>
      <w:r>
        <w:rPr>
          <w:rFonts w:hint="eastAsia" w:ascii="宋体" w:hAnsi="宋体" w:cs="仿宋_GB2312"/>
          <w:b/>
          <w:bCs/>
          <w:sz w:val="44"/>
          <w:szCs w:val="44"/>
        </w:rPr>
        <w:t>湖南养天和大药房招聘</w:t>
      </w:r>
    </w:p>
    <w:p>
      <w:pPr>
        <w:spacing w:line="480" w:lineRule="exact"/>
        <w:jc w:val="center"/>
        <w:rPr>
          <w:rFonts w:hint="eastAsia" w:ascii="宋体" w:hAnsi="宋体"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湖南养天和大药房企业集团有限公司是一家从事医药零售连锁经营为主体，兼营药品保健品批发和健康产业开发推广等业务于一体的大型民营企业集团。</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480"/>
        <w:textAlignment w:val="auto"/>
        <w:rPr>
          <w:rFonts w:ascii="宋体" w:hAnsi="宋体" w:cs="宋体"/>
          <w:kern w:val="0"/>
          <w:sz w:val="24"/>
        </w:rPr>
      </w:pPr>
      <w:r>
        <w:rPr>
          <w:rFonts w:ascii="宋体" w:hAnsi="宋体" w:cs="宋体"/>
          <w:kern w:val="0"/>
          <w:sz w:val="24"/>
        </w:rPr>
        <w:t>自2002年8月成立以来，公司坚持弘扬中华传统医药文化的基本方针，传承长沙百年老品牌“养天和”的经营理念，秉承“扎根社区，服务百姓”的服务模式，实现了企业规模和服务范围的迅速扩张。现下设湖南、</w:t>
      </w:r>
      <w:r>
        <w:rPr>
          <w:rFonts w:hint="eastAsia" w:ascii="宋体" w:hAnsi="宋体" w:cs="宋体"/>
          <w:kern w:val="0"/>
          <w:sz w:val="24"/>
          <w:lang w:eastAsia="zh-CN"/>
        </w:rPr>
        <w:t>湖北、</w:t>
      </w:r>
      <w:r>
        <w:rPr>
          <w:rFonts w:ascii="宋体" w:hAnsi="宋体" w:cs="宋体"/>
          <w:kern w:val="0"/>
          <w:sz w:val="24"/>
        </w:rPr>
        <w:t>北京、海南、日本等分支机构，开设门店800余家，员工4000多名。形成了体系完整、管理先进、高效运转的医药采购、物流、销售系统，并不断向国内外市场拓展</w:t>
      </w:r>
      <w:r>
        <w:rPr>
          <w:rFonts w:hint="eastAsia" w:ascii="宋体" w:hAnsi="宋体" w:cs="宋体"/>
          <w:kern w:val="0"/>
          <w:sz w:val="24"/>
          <w:lang w:eastAsia="zh-CN"/>
        </w:rPr>
        <w:t>，目前</w:t>
      </w:r>
      <w:r>
        <w:rPr>
          <w:rFonts w:ascii="宋体" w:hAnsi="宋体" w:cs="宋体"/>
          <w:kern w:val="0"/>
          <w:sz w:val="24"/>
        </w:rPr>
        <w:t>为中国药品零售企业</w:t>
      </w:r>
      <w:r>
        <w:rPr>
          <w:rFonts w:hint="eastAsia" w:ascii="宋体" w:hAnsi="宋体" w:cs="宋体"/>
          <w:kern w:val="0"/>
          <w:sz w:val="24"/>
        </w:rPr>
        <w:t>18</w:t>
      </w:r>
      <w:r>
        <w:rPr>
          <w:rFonts w:ascii="宋体" w:hAnsi="宋体" w:cs="宋体"/>
          <w:kern w:val="0"/>
          <w:sz w:val="24"/>
        </w:rPr>
        <w:t>强之一。“养天和”为＂中国驰名商标＂。</w:t>
      </w:r>
    </w:p>
    <w:p>
      <w:pPr>
        <w:keepNext w:val="0"/>
        <w:keepLines w:val="0"/>
        <w:pageBreakBefore w:val="0"/>
        <w:widowControl w:val="0"/>
        <w:kinsoku/>
        <w:wordWrap/>
        <w:overflowPunct/>
        <w:topLinePunct w:val="0"/>
        <w:autoSpaceDE/>
        <w:autoSpaceDN/>
        <w:bidi w:val="0"/>
        <w:adjustRightInd/>
        <w:snapToGrid/>
        <w:spacing w:line="480" w:lineRule="auto"/>
        <w:ind w:left="-1" w:leftChars="0" w:right="0" w:rightChars="0" w:firstLine="0" w:firstLineChars="0"/>
        <w:textAlignment w:val="auto"/>
        <w:rPr>
          <w:rFonts w:ascii="宋体" w:hAnsi="宋体" w:cs="宋体"/>
          <w:kern w:val="0"/>
          <w:sz w:val="24"/>
        </w:rPr>
      </w:pPr>
      <w:r>
        <w:drawing>
          <wp:inline distT="0" distB="0" distL="114300" distR="114300">
            <wp:extent cx="5848350" cy="1539875"/>
            <wp:effectExtent l="0" t="0" r="0" b="3175"/>
            <wp:docPr id="10242" name="Picture 2"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048"/>
                    <pic:cNvPicPr>
                      <a:picLocks noChangeAspect="1"/>
                    </pic:cNvPicPr>
                  </pic:nvPicPr>
                  <pic:blipFill>
                    <a:blip r:embed="rId5"/>
                    <a:stretch>
                      <a:fillRect/>
                    </a:stretch>
                  </pic:blipFill>
                  <pic:spPr>
                    <a:xfrm>
                      <a:off x="0" y="0"/>
                      <a:ext cx="5848350" cy="153987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0" w:rightChars="0"/>
        <w:jc w:val="left"/>
        <w:textAlignment w:val="auto"/>
        <w:rPr>
          <w:rFonts w:hint="eastAsia" w:ascii="宋体" w:hAnsi="宋体" w:cs="宋体"/>
          <w:b/>
          <w:bCs/>
          <w:kern w:val="0"/>
          <w:sz w:val="24"/>
        </w:rPr>
      </w:pPr>
      <w:r>
        <w:rPr>
          <w:rFonts w:hint="eastAsia" w:ascii="宋体" w:hAnsi="宋体" w:cs="宋体"/>
          <w:b/>
          <w:bCs/>
          <w:kern w:val="0"/>
          <w:sz w:val="24"/>
        </w:rPr>
        <w:t>招聘职位：</w:t>
      </w:r>
    </w:p>
    <w:tbl>
      <w:tblPr>
        <w:tblStyle w:val="5"/>
        <w:tblpPr w:leftFromText="180" w:rightFromText="180" w:vertAnchor="text" w:horzAnchor="page" w:tblpX="2251" w:tblpY="87"/>
        <w:tblOverlap w:val="never"/>
        <w:tblW w:w="9140" w:type="dxa"/>
        <w:tblInd w:w="0" w:type="dxa"/>
        <w:tblLayout w:type="fixed"/>
        <w:tblCellMar>
          <w:top w:w="0" w:type="dxa"/>
          <w:left w:w="108" w:type="dxa"/>
          <w:bottom w:w="0" w:type="dxa"/>
          <w:right w:w="108" w:type="dxa"/>
        </w:tblCellMar>
      </w:tblPr>
      <w:tblGrid>
        <w:gridCol w:w="925"/>
        <w:gridCol w:w="822"/>
        <w:gridCol w:w="760"/>
        <w:gridCol w:w="714"/>
        <w:gridCol w:w="1116"/>
        <w:gridCol w:w="4803"/>
      </w:tblGrid>
      <w:tr>
        <w:tblPrEx>
          <w:tblLayout w:type="fixed"/>
          <w:tblCellMar>
            <w:top w:w="0" w:type="dxa"/>
            <w:left w:w="108" w:type="dxa"/>
            <w:bottom w:w="0" w:type="dxa"/>
            <w:right w:w="108" w:type="dxa"/>
          </w:tblCellMar>
        </w:tblPrEx>
        <w:trPr>
          <w:trHeight w:val="1200" w:hRule="atLeast"/>
        </w:trPr>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招聘职位</w:t>
            </w:r>
          </w:p>
        </w:tc>
        <w:tc>
          <w:tcPr>
            <w:tcW w:w="822"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部门</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人数</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学历</w:t>
            </w:r>
          </w:p>
        </w:tc>
        <w:tc>
          <w:tcPr>
            <w:tcW w:w="1116"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专业</w:t>
            </w:r>
          </w:p>
        </w:tc>
        <w:tc>
          <w:tcPr>
            <w:tcW w:w="4803" w:type="dxa"/>
            <w:tcBorders>
              <w:top w:val="single" w:color="auto" w:sz="4" w:space="0"/>
              <w:left w:val="nil"/>
              <w:bottom w:val="single" w:color="auto" w:sz="4" w:space="0"/>
              <w:right w:val="single" w:color="auto" w:sz="4" w:space="0"/>
            </w:tcBorders>
            <w:vAlign w:val="center"/>
          </w:tcPr>
          <w:p>
            <w:pPr>
              <w:widowControl/>
              <w:jc w:val="center"/>
              <w:rPr>
                <w:rFonts w:ascii="华文细黑" w:hAnsi="华文细黑" w:eastAsia="华文细黑" w:cs="宋体"/>
                <w:b/>
                <w:bCs/>
                <w:kern w:val="0"/>
                <w:sz w:val="22"/>
              </w:rPr>
            </w:pPr>
            <w:r>
              <w:rPr>
                <w:rFonts w:hint="eastAsia" w:ascii="华文细黑" w:hAnsi="华文细黑" w:eastAsia="华文细黑" w:cs="宋体"/>
                <w:b/>
                <w:bCs/>
                <w:kern w:val="0"/>
                <w:sz w:val="22"/>
              </w:rPr>
              <w:t>招聘要求</w:t>
            </w:r>
          </w:p>
        </w:tc>
      </w:tr>
      <w:tr>
        <w:tblPrEx>
          <w:tblLayout w:type="fixed"/>
          <w:tblCellMar>
            <w:top w:w="0" w:type="dxa"/>
            <w:left w:w="108" w:type="dxa"/>
            <w:bottom w:w="0" w:type="dxa"/>
            <w:right w:w="108" w:type="dxa"/>
          </w:tblCellMar>
        </w:tblPrEx>
        <w:trPr>
          <w:trHeight w:val="1221" w:hRule="atLeast"/>
        </w:trPr>
        <w:tc>
          <w:tcPr>
            <w:tcW w:w="9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实习生</w:t>
            </w:r>
          </w:p>
        </w:tc>
        <w:tc>
          <w:tcPr>
            <w:tcW w:w="82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长沙各大门店</w:t>
            </w:r>
          </w:p>
        </w:tc>
        <w:tc>
          <w:tcPr>
            <w:tcW w:w="76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lang w:val="en-US" w:eastAsia="zh-CN"/>
              </w:rPr>
              <w:t>60</w:t>
            </w:r>
            <w:r>
              <w:rPr>
                <w:rFonts w:hint="eastAsia" w:ascii="宋体" w:hAnsi="宋体" w:cs="宋体"/>
                <w:kern w:val="0"/>
                <w:sz w:val="22"/>
              </w:rPr>
              <w:t>人</w:t>
            </w:r>
          </w:p>
        </w:tc>
        <w:tc>
          <w:tcPr>
            <w:tcW w:w="71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中专以上</w:t>
            </w:r>
          </w:p>
        </w:tc>
        <w:tc>
          <w:tcPr>
            <w:tcW w:w="111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药学、制药等相关专业</w:t>
            </w:r>
          </w:p>
        </w:tc>
        <w:tc>
          <w:tcPr>
            <w:tcW w:w="4803" w:type="dxa"/>
            <w:tcBorders>
              <w:top w:val="nil"/>
              <w:left w:val="nil"/>
              <w:bottom w:val="single" w:color="auto" w:sz="4" w:space="0"/>
              <w:right w:val="single" w:color="auto" w:sz="4" w:space="0"/>
            </w:tcBorders>
            <w:vAlign w:val="center"/>
          </w:tcPr>
          <w:p>
            <w:pPr>
              <w:jc w:val="left"/>
              <w:rPr>
                <w:rFonts w:ascii="宋体" w:hAnsi="宋体" w:cs="宋体"/>
                <w:color w:val="000000"/>
                <w:sz w:val="22"/>
              </w:rPr>
            </w:pPr>
            <w:r>
              <w:rPr>
                <w:rFonts w:hint="eastAsia"/>
                <w:color w:val="000000"/>
                <w:sz w:val="22"/>
              </w:rPr>
              <w:t>专业知识扎实，勤奋好学，对工作有高度责任感，能吃苦耐劳，具有较强的团队合作意识和不断创新精神，人际沟通能力强。</w:t>
            </w:r>
            <w:r>
              <w:rPr>
                <w:rFonts w:ascii="宋体" w:hAnsi="宋体" w:cs="宋体"/>
                <w:color w:val="000000"/>
                <w:sz w:val="22"/>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jc w:val="left"/>
        <w:textAlignment w:val="auto"/>
        <w:rPr>
          <w:rFonts w:hint="eastAsia" w:ascii="宋体" w:hAnsi="宋体" w:cs="宋体"/>
          <w:b/>
          <w:bCs/>
          <w:kern w:val="0"/>
          <w:sz w:val="24"/>
        </w:rPr>
      </w:pPr>
      <w:r>
        <w:rPr>
          <w:rFonts w:hint="eastAsia" w:ascii="宋体" w:hAnsi="宋体" w:cs="宋体"/>
          <w:b/>
          <w:bCs/>
          <w:kern w:val="0"/>
          <w:sz w:val="24"/>
        </w:rPr>
        <w:t xml:space="preserve"> 二、工作时间：</w:t>
      </w:r>
    </w:p>
    <w:p>
      <w:pPr>
        <w:keepNext w:val="0"/>
        <w:keepLines w:val="0"/>
        <w:pageBreakBefore w:val="0"/>
        <w:widowControl w:val="0"/>
        <w:kinsoku/>
        <w:wordWrap/>
        <w:overflowPunct/>
        <w:topLinePunct w:val="0"/>
        <w:autoSpaceDE/>
        <w:autoSpaceDN/>
        <w:bidi w:val="0"/>
        <w:adjustRightInd/>
        <w:snapToGrid/>
        <w:spacing w:line="480" w:lineRule="auto"/>
        <w:ind w:right="0" w:rightChars="0"/>
        <w:jc w:val="left"/>
        <w:textAlignment w:val="auto"/>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eastAsia="zh-CN"/>
        </w:rPr>
        <w:t>实行两班制，上午</w:t>
      </w:r>
      <w:r>
        <w:rPr>
          <w:rFonts w:hint="eastAsia" w:ascii="宋体" w:hAnsi="宋体" w:cs="宋体"/>
          <w:kern w:val="0"/>
          <w:sz w:val="24"/>
          <w:lang w:val="en-US" w:eastAsia="zh-CN"/>
        </w:rPr>
        <w:t>7:30—15:30，下午15:00—22:00，每月休2—4天不等</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snapToGrid/>
        <w:spacing w:before="156" w:beforeLines="50" w:line="480" w:lineRule="auto"/>
        <w:ind w:right="0" w:rightChars="0"/>
        <w:jc w:val="both"/>
        <w:textAlignment w:val="auto"/>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三、薪酬待遇：</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1、实习生实习期间发放生活补贴：</w:t>
      </w:r>
      <w:r>
        <w:rPr>
          <w:rFonts w:hint="eastAsia" w:asciiTheme="majorEastAsia" w:hAnsiTheme="majorEastAsia" w:eastAsiaTheme="majorEastAsia" w:cstheme="majorEastAsia"/>
          <w:sz w:val="24"/>
          <w:szCs w:val="24"/>
          <w:lang w:val="en-US" w:eastAsia="zh-CN"/>
        </w:rPr>
        <w:t>薪资标准：1200元+绩效（</w:t>
      </w:r>
      <w:r>
        <w:rPr>
          <w:rFonts w:hint="eastAsia" w:asciiTheme="majorEastAsia" w:hAnsiTheme="majorEastAsia" w:eastAsiaTheme="majorEastAsia" w:cstheme="majorEastAsia"/>
          <w:sz w:val="24"/>
          <w:szCs w:val="24"/>
        </w:rPr>
        <w:t>包住宿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left="898" w:leftChars="228" w:right="0" w:rightChars="0" w:hanging="420" w:hangingChars="15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2、实习期</w:t>
      </w:r>
      <w:r>
        <w:rPr>
          <w:rFonts w:hint="eastAsia" w:asciiTheme="majorEastAsia" w:hAnsiTheme="majorEastAsia" w:eastAsiaTheme="majorEastAsia" w:cstheme="majorEastAsia"/>
          <w:sz w:val="24"/>
          <w:szCs w:val="24"/>
          <w:lang w:eastAsia="zh-CN"/>
        </w:rPr>
        <w:t>转正时间为</w:t>
      </w:r>
      <w:r>
        <w:rPr>
          <w:rFonts w:hint="eastAsia" w:asciiTheme="majorEastAsia" w:hAnsiTheme="majorEastAsia" w:eastAsiaTheme="majorEastAsia" w:cstheme="majorEastAsia"/>
          <w:sz w:val="24"/>
          <w:szCs w:val="24"/>
          <w:lang w:val="en-US" w:eastAsia="zh-CN"/>
        </w:rPr>
        <w:t>1—6个月</w:t>
      </w:r>
      <w:r>
        <w:rPr>
          <w:rFonts w:hint="eastAsia" w:asciiTheme="majorEastAsia" w:hAnsiTheme="majorEastAsia" w:eastAsiaTheme="majorEastAsia" w:cstheme="majorEastAsia"/>
          <w:sz w:val="24"/>
          <w:szCs w:val="24"/>
        </w:rPr>
        <w:t>，经考核合格者予以转正，</w:t>
      </w:r>
      <w:r>
        <w:rPr>
          <w:rFonts w:hint="eastAsia" w:asciiTheme="majorEastAsia" w:hAnsiTheme="majorEastAsia" w:eastAsiaTheme="majorEastAsia" w:cstheme="majorEastAsia"/>
          <w:sz w:val="24"/>
          <w:szCs w:val="24"/>
          <w:lang w:val="en-US" w:eastAsia="zh-CN"/>
        </w:rPr>
        <w:t>转正后薪资标准：1500元+绩效+工龄工资+执业药师考试带薪假，公司购买五险等。</w:t>
      </w:r>
    </w:p>
    <w:p>
      <w:pPr>
        <w:keepNext w:val="0"/>
        <w:keepLines w:val="0"/>
        <w:pageBreakBefore w:val="0"/>
        <w:widowControl w:val="0"/>
        <w:kinsoku/>
        <w:wordWrap/>
        <w:overflowPunct/>
        <w:topLinePunct w:val="0"/>
        <w:autoSpaceDE/>
        <w:autoSpaceDN/>
        <w:bidi w:val="0"/>
        <w:adjustRightInd/>
        <w:snapToGrid/>
        <w:spacing w:line="480" w:lineRule="auto"/>
        <w:ind w:left="898" w:leftChars="228" w:right="0" w:rightChars="0" w:hanging="420" w:hangingChars="15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3、实习生入司前</w:t>
      </w:r>
      <w:r>
        <w:rPr>
          <w:rFonts w:hint="eastAsia" w:asciiTheme="majorEastAsia" w:hAnsiTheme="majorEastAsia" w:eastAsiaTheme="majorEastAsia" w:cstheme="majorEastAsia"/>
          <w:sz w:val="24"/>
          <w:szCs w:val="24"/>
          <w:lang w:eastAsia="zh-CN"/>
        </w:rPr>
        <w:t>自行办理</w:t>
      </w:r>
      <w:r>
        <w:rPr>
          <w:rFonts w:hint="eastAsia" w:asciiTheme="majorEastAsia" w:hAnsiTheme="majorEastAsia" w:eastAsiaTheme="majorEastAsia" w:cstheme="majorEastAsia"/>
          <w:sz w:val="24"/>
          <w:szCs w:val="24"/>
        </w:rPr>
        <w:t>体检，</w:t>
      </w:r>
      <w:r>
        <w:rPr>
          <w:rFonts w:hint="eastAsia" w:asciiTheme="majorEastAsia" w:hAnsiTheme="majorEastAsia" w:eastAsiaTheme="majorEastAsia" w:cstheme="majorEastAsia"/>
          <w:sz w:val="24"/>
          <w:szCs w:val="24"/>
          <w:lang w:eastAsia="zh-CN"/>
        </w:rPr>
        <w:t>须持证上岗，</w:t>
      </w:r>
      <w:r>
        <w:rPr>
          <w:rFonts w:hint="eastAsia" w:asciiTheme="majorEastAsia" w:hAnsiTheme="majorEastAsia" w:eastAsiaTheme="majorEastAsia" w:cstheme="majorEastAsia"/>
          <w:sz w:val="24"/>
          <w:szCs w:val="24"/>
        </w:rPr>
        <w:t>体检不合格者将退回原校。</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rPr>
          <w:rFonts w:hint="eastAsia"/>
          <w:sz w:val="24"/>
          <w:szCs w:val="24"/>
        </w:rPr>
      </w:pPr>
      <w:r>
        <w:rPr>
          <w:rFonts w:hint="eastAsia" w:asciiTheme="majorEastAsia" w:hAnsiTheme="majorEastAsia" w:eastAsiaTheme="majorEastAsia" w:cstheme="major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pPr>
      <w:r>
        <w:rPr>
          <w:rFonts w:hint="eastAsia"/>
          <w:sz w:val="24"/>
          <w:szCs w:val="24"/>
          <w:lang w:val="en-US" w:eastAsia="zh-CN"/>
        </w:rPr>
        <w:t>公司地址：长沙市雨花区曙光南路24号苎麻大厦十二楼长沙事业部综合办</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onospace">
    <w:altName w:val="Courier New"/>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eastAsia="楷体_GB2312"/>
        <w:sz w:val="24"/>
        <w:lang w:eastAsia="zh-CN"/>
      </w:rPr>
      <w:drawing>
        <wp:inline distT="0" distB="0" distL="114300" distR="114300">
          <wp:extent cx="591185" cy="612140"/>
          <wp:effectExtent l="0" t="0" r="18415" b="16510"/>
          <wp:docPr id="2" name="图片 2" descr="养天和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养天和LOGO1"/>
                  <pic:cNvPicPr>
                    <a:picLocks noChangeAspect="1"/>
                  </pic:cNvPicPr>
                </pic:nvPicPr>
                <pic:blipFill>
                  <a:blip r:embed="rId1"/>
                  <a:stretch>
                    <a:fillRect/>
                  </a:stretch>
                </pic:blipFill>
                <pic:spPr>
                  <a:xfrm>
                    <a:off x="0" y="0"/>
                    <a:ext cx="591185" cy="61214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0FD4E"/>
    <w:multiLevelType w:val="singleLevel"/>
    <w:tmpl w:val="58C0FD4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23EC"/>
    <w:rsid w:val="1F687559"/>
    <w:rsid w:val="2A0E07AE"/>
    <w:rsid w:val="2EE95047"/>
    <w:rsid w:val="430D1C61"/>
    <w:rsid w:val="524601AD"/>
    <w:rsid w:val="552E5323"/>
    <w:rsid w:val="5C616CB1"/>
    <w:rsid w:val="63594C33"/>
    <w:rsid w:val="65570B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2017-03-29T07:08:38Z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