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84"/>
          <w:szCs w:val="84"/>
          <w:lang w:val="en-US" w:eastAsia="zh-CN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"C:\\Documents and Settings\\Administrator\\Application Data\\Tencent\\Users\\64847196\\QQ\\WinTemp\\RichOle\\`%OC70TS%D`FA}@Z2(66X6U.png"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843280" cy="668020"/>
            <wp:effectExtent l="0" t="0" r="13970" b="17780"/>
            <wp:docPr id="2" name="图片 2" descr="`%OC70TS%D`FA}@Z2(66X6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`%OC70TS%D`FA}@Z2(66X6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84"/>
          <w:szCs w:val="84"/>
          <w:lang w:val="en-US" w:eastAsia="zh-CN"/>
        </w:rPr>
        <w:t>吉林亚泰医药销售有限公司</w:t>
      </w:r>
      <w:bookmarkStart w:id="0" w:name="_GoBack"/>
      <w:bookmarkEnd w:id="0"/>
    </w:p>
    <w:p>
      <w:pPr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吉林亚泰集团组建于1993年，1995年在上交所挂牌上市（证券简称：亚泰集团；股票代码：600881）。总资产538亿元，年营业收入超400亿元，2016年位列“中国500强企业”第329位，成为以建材及制品、地产、金融、医药为主业，涉足煤炭、商贸、体育文化、互联网传媒领域的混合所有制股份制企业集团。</w:t>
      </w:r>
    </w:p>
    <w:p>
      <w:pPr>
        <w:rPr>
          <w:rFonts w:hint="eastAsia" w:ascii="宋体" w:hAnsi="宋体" w:cs="宋体"/>
          <w:kern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亚泰医药产业起步于1999年，下辖5家药品生产企业，1家保健品生产企业，1家连锁药房（全国连锁药房排名第12位），2家新药研发机构，1家医药流通企业和1家医药产业园区管理企业，总资产30亿元。公司OTC终端销售采取控销模式经营，独家黄金单品（鸡胆口服溶液、杞天口服液、感冒疏风胶囊、荨麻疹丸）等系列中西药百余个产品，中超亚泰足球队品牌广告支持。企业铺货，利润空间大，是你坚实可靠的发展平台！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80"/>
        <w:gridCol w:w="2160"/>
        <w:gridCol w:w="3255"/>
        <w:gridCol w:w="5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1380" w:type="dxa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160" w:type="dxa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工作地点</w:t>
            </w:r>
          </w:p>
        </w:tc>
        <w:tc>
          <w:tcPr>
            <w:tcW w:w="3255" w:type="dxa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薪 酬 待 遇</w:t>
            </w:r>
          </w:p>
        </w:tc>
        <w:tc>
          <w:tcPr>
            <w:tcW w:w="5801" w:type="dxa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岗位职责及要求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终端营销经理</w:t>
            </w:r>
          </w:p>
        </w:tc>
        <w:tc>
          <w:tcPr>
            <w:tcW w:w="1380" w:type="dxa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100人</w:t>
            </w:r>
          </w:p>
        </w:tc>
        <w:tc>
          <w:tcPr>
            <w:tcW w:w="2160" w:type="dxa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湖南省各县、市、区</w:t>
            </w:r>
          </w:p>
        </w:tc>
        <w:tc>
          <w:tcPr>
            <w:tcW w:w="3255" w:type="dxa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实习员工：2-3个月，1500元/月，住宿津贴500元/月，超额完成任务有绩效奖金。</w:t>
            </w: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正式员工：提成</w:t>
            </w: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详情面议。</w:t>
            </w: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月入10万不是梦！</w:t>
            </w:r>
          </w:p>
        </w:tc>
        <w:tc>
          <w:tcPr>
            <w:tcW w:w="5801" w:type="dxa"/>
          </w:tcPr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职责:负责销售区域内药店、诊所、卫生院等客户的开发、建  档、销售、回款、产品知识培训、客户培育等工作，完成公司下达的各项任务指标。</w:t>
            </w:r>
          </w:p>
          <w:p>
            <w:pP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要求：男女不限，性格开朗大方，学习能力强，善于沟通，吃苦耐劳，敢于挑战高薪和远大目标。有交通工具者优先，在当地有销售网络者优先。</w:t>
            </w:r>
          </w:p>
        </w:tc>
      </w:tr>
    </w:tbl>
    <w:p>
      <w:pPr>
        <w:rPr>
          <w:rFonts w:hint="eastAsia" w:ascii="宋体" w:hAnsi="宋体" w:cs="宋体"/>
          <w:kern w:val="0"/>
          <w:sz w:val="52"/>
          <w:szCs w:val="5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14BF"/>
    <w:rsid w:val="01A614BF"/>
    <w:rsid w:val="2B0E2E5E"/>
    <w:rsid w:val="452C7B43"/>
    <w:rsid w:val="61735EB1"/>
    <w:rsid w:val="62E757D9"/>
    <w:rsid w:val="6D7F7C45"/>
    <w:rsid w:val="7A4E10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2017-04-10T13:03:00Z</dcterms:created>
  <dc:creator>Administrator</dc:creator>
  <cp:lastModifiedBy>Administrator</cp:lastModifiedBy>
  <dcterms:modified xsi:type="dcterms:W3CDTF">2017-04-12T08:36:16Z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