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41" w:rsidRDefault="00A35CB6">
      <w:pPr>
        <w:jc w:val="center"/>
        <w:rPr>
          <w:b/>
          <w:sz w:val="32"/>
        </w:rPr>
      </w:pPr>
      <w:r>
        <w:rPr>
          <w:rFonts w:hint="eastAsia"/>
          <w:b/>
          <w:sz w:val="32"/>
        </w:rPr>
        <w:t>广州市康滙家医药有限责任公司</w:t>
      </w:r>
    </w:p>
    <w:p w:rsidR="00870B41" w:rsidRDefault="00A35CB6" w:rsidP="0007470E">
      <w:pPr>
        <w:spacing w:afterLines="50"/>
        <w:ind w:leftChars="50" w:left="105" w:firstLineChars="150" w:firstLine="361"/>
        <w:rPr>
          <w:b/>
          <w:sz w:val="24"/>
          <w:szCs w:val="24"/>
        </w:rPr>
      </w:pPr>
      <w:r>
        <w:rPr>
          <w:rFonts w:hint="eastAsia"/>
          <w:b/>
          <w:sz w:val="24"/>
          <w:szCs w:val="24"/>
        </w:rPr>
        <w:t>广州市康滙家医药有限责任公司是一家新兴的药品零售连锁公司，在</w:t>
      </w:r>
      <w:r>
        <w:rPr>
          <w:rFonts w:hint="eastAsia"/>
          <w:b/>
          <w:sz w:val="24"/>
          <w:szCs w:val="24"/>
        </w:rPr>
        <w:t>2008</w:t>
      </w:r>
      <w:r>
        <w:rPr>
          <w:rFonts w:hint="eastAsia"/>
          <w:b/>
          <w:sz w:val="24"/>
          <w:szCs w:val="24"/>
        </w:rPr>
        <w:t>年康滙家家人怀着对医药零售事业的崇高理想，开始成立了第一家零售药房，从此一个年轻又有活力的康汇家（康滙家前身）通过严格要求质量与专业水平及对顾客服务至上的原则不断的扩展，目前已拥有门店</w:t>
      </w:r>
      <w:r>
        <w:rPr>
          <w:rFonts w:hint="eastAsia"/>
          <w:b/>
          <w:sz w:val="24"/>
          <w:szCs w:val="24"/>
        </w:rPr>
        <w:t>9</w:t>
      </w:r>
      <w:r>
        <w:rPr>
          <w:rFonts w:hint="eastAsia"/>
          <w:b/>
          <w:sz w:val="24"/>
          <w:szCs w:val="24"/>
        </w:rPr>
        <w:t>家，在队伍不断壮大的同时，注重专业人才的培养，始终秉承勤奋、开拓、严谨、高效的企业精神和以人为本、以才为用的管理理念。康滙家将用毕生的精力致力于中国医药零售事业的发展</w:t>
      </w:r>
      <w:r>
        <w:rPr>
          <w:rFonts w:ascii="宋体" w:eastAsia="宋体" w:hAnsi="宋体" w:hint="eastAsia"/>
          <w:b/>
          <w:sz w:val="24"/>
          <w:szCs w:val="24"/>
        </w:rPr>
        <w:t>──</w:t>
      </w:r>
      <w:r>
        <w:rPr>
          <w:rFonts w:hint="eastAsia"/>
          <w:b/>
          <w:sz w:val="24"/>
          <w:szCs w:val="24"/>
        </w:rPr>
        <w:t>秉着专业、专注、专心！以质量为本、诚信经营的优质服务理念打造社区最佳的百姓放心、便利的药房！公司坐落在广州市萝岗区科学城附近有体育公园、万达广场。</w:t>
      </w:r>
    </w:p>
    <w:p w:rsidR="00870B41" w:rsidRDefault="00A35CB6" w:rsidP="0007470E">
      <w:pPr>
        <w:spacing w:afterLines="50"/>
        <w:ind w:leftChars="50" w:left="105" w:firstLineChars="150" w:firstLine="361"/>
        <w:rPr>
          <w:b/>
          <w:sz w:val="24"/>
          <w:szCs w:val="24"/>
        </w:rPr>
      </w:pPr>
      <w:r>
        <w:rPr>
          <w:rFonts w:hint="eastAsia"/>
          <w:b/>
          <w:sz w:val="24"/>
          <w:szCs w:val="24"/>
        </w:rPr>
        <w:t>康滙家全体人员正用自己的思想和行动朝着做中国优质连锁零售药房的目标坚定前行，现欢迎各类人才到康滙家公司来发展创新、成就梦想！加入康滙家共创辉煌！公司建立了现代企业管理制度和“人品优先、能力适度、敬业为本、团队第一</w:t>
      </w:r>
      <w:r>
        <w:rPr>
          <w:b/>
          <w:sz w:val="24"/>
          <w:szCs w:val="24"/>
        </w:rPr>
        <w:t>”</w:t>
      </w:r>
      <w:r>
        <w:rPr>
          <w:rFonts w:hint="eastAsia"/>
          <w:b/>
          <w:sz w:val="24"/>
          <w:szCs w:val="24"/>
        </w:rPr>
        <w:t>的人才使用机制，将为每一位员工都提供个性化的职业生涯规划指导，及公平、公正的竟争机会和晋升机制；你有多大的能耐就给你多大的舞台！</w:t>
      </w:r>
    </w:p>
    <w:p w:rsidR="00870B41" w:rsidRDefault="00A35CB6" w:rsidP="0007470E">
      <w:pPr>
        <w:spacing w:afterLines="50"/>
        <w:ind w:leftChars="50" w:left="105" w:firstLineChars="150" w:firstLine="361"/>
        <w:rPr>
          <w:b/>
          <w:sz w:val="24"/>
          <w:szCs w:val="24"/>
        </w:rPr>
      </w:pPr>
      <w:r>
        <w:rPr>
          <w:b/>
          <w:noProof/>
          <w:sz w:val="24"/>
          <w:szCs w:val="24"/>
        </w:rPr>
        <w:drawing>
          <wp:inline distT="0" distB="0" distL="0" distR="0">
            <wp:extent cx="2743200" cy="4010025"/>
            <wp:effectExtent l="19050" t="0" r="0" b="0"/>
            <wp:docPr id="4" name="图片 1" descr="C:\Users\admin\Documents\Tencent Files\70092968\FileRecv\MobileFile\水西营业执照副本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Documents\Tencent Files\70092968\FileRecv\MobileFile\水西营业执照副本jpg.jpg"/>
                    <pic:cNvPicPr>
                      <a:picLocks noChangeAspect="1" noChangeArrowheads="1"/>
                    </pic:cNvPicPr>
                  </pic:nvPicPr>
                  <pic:blipFill>
                    <a:blip r:embed="rId7" cstate="print"/>
                    <a:srcRect/>
                    <a:stretch>
                      <a:fillRect/>
                    </a:stretch>
                  </pic:blipFill>
                  <pic:spPr>
                    <a:xfrm>
                      <a:off x="0" y="0"/>
                      <a:ext cx="2744608" cy="4012083"/>
                    </a:xfrm>
                    <a:prstGeom prst="rect">
                      <a:avLst/>
                    </a:prstGeom>
                    <a:noFill/>
                    <a:ln w="9525">
                      <a:noFill/>
                      <a:miter lim="800000"/>
                      <a:headEnd/>
                      <a:tailEnd/>
                    </a:ln>
                  </pic:spPr>
                </pic:pic>
              </a:graphicData>
            </a:graphic>
          </wp:inline>
        </w:drawing>
      </w:r>
      <w:r>
        <w:rPr>
          <w:b/>
          <w:noProof/>
          <w:sz w:val="24"/>
          <w:szCs w:val="24"/>
        </w:rPr>
        <w:drawing>
          <wp:inline distT="0" distB="0" distL="0" distR="0">
            <wp:extent cx="2180590" cy="3876675"/>
            <wp:effectExtent l="19050" t="0" r="0" b="0"/>
            <wp:docPr id="5" name="图片 2" descr="C:\Users\admin\Documents\Tencent Files\70092968\FileRecv\MobileFile\IMG_2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Documents\Tencent Files\70092968\FileRecv\MobileFile\IMG_2406.PNG"/>
                    <pic:cNvPicPr>
                      <a:picLocks noChangeAspect="1" noChangeArrowheads="1"/>
                    </pic:cNvPicPr>
                  </pic:nvPicPr>
                  <pic:blipFill>
                    <a:blip r:embed="rId8" cstate="print"/>
                    <a:srcRect/>
                    <a:stretch>
                      <a:fillRect/>
                    </a:stretch>
                  </pic:blipFill>
                  <pic:spPr>
                    <a:xfrm>
                      <a:off x="0" y="0"/>
                      <a:ext cx="2181551" cy="3878312"/>
                    </a:xfrm>
                    <a:prstGeom prst="rect">
                      <a:avLst/>
                    </a:prstGeom>
                    <a:noFill/>
                    <a:ln w="9525">
                      <a:noFill/>
                      <a:miter lim="800000"/>
                      <a:headEnd/>
                      <a:tailEnd/>
                    </a:ln>
                  </pic:spPr>
                </pic:pic>
              </a:graphicData>
            </a:graphic>
          </wp:inline>
        </w:drawing>
      </w:r>
    </w:p>
    <w:tbl>
      <w:tblPr>
        <w:tblStyle w:val="a6"/>
        <w:tblW w:w="10881" w:type="dxa"/>
        <w:tblLayout w:type="fixed"/>
        <w:tblLook w:val="04A0"/>
      </w:tblPr>
      <w:tblGrid>
        <w:gridCol w:w="1242"/>
        <w:gridCol w:w="1134"/>
        <w:gridCol w:w="1276"/>
        <w:gridCol w:w="1134"/>
        <w:gridCol w:w="6095"/>
      </w:tblGrid>
      <w:tr w:rsidR="00870B41">
        <w:tc>
          <w:tcPr>
            <w:tcW w:w="1242" w:type="dxa"/>
          </w:tcPr>
          <w:p w:rsidR="00870B41" w:rsidRDefault="00A35CB6">
            <w:pPr>
              <w:spacing w:before="100" w:beforeAutospacing="1" w:line="360" w:lineRule="auto"/>
              <w:jc w:val="center"/>
              <w:rPr>
                <w:b/>
                <w:sz w:val="24"/>
                <w:szCs w:val="24"/>
              </w:rPr>
            </w:pPr>
            <w:r>
              <w:rPr>
                <w:rFonts w:hint="eastAsia"/>
                <w:b/>
                <w:sz w:val="24"/>
                <w:szCs w:val="24"/>
              </w:rPr>
              <w:t>招聘职位</w:t>
            </w:r>
          </w:p>
        </w:tc>
        <w:tc>
          <w:tcPr>
            <w:tcW w:w="1134" w:type="dxa"/>
          </w:tcPr>
          <w:p w:rsidR="00870B41" w:rsidRDefault="00A35CB6">
            <w:pPr>
              <w:spacing w:before="100" w:beforeAutospacing="1" w:line="360" w:lineRule="auto"/>
              <w:jc w:val="center"/>
              <w:rPr>
                <w:b/>
                <w:sz w:val="24"/>
                <w:szCs w:val="24"/>
              </w:rPr>
            </w:pPr>
            <w:r>
              <w:rPr>
                <w:rFonts w:hint="eastAsia"/>
                <w:b/>
                <w:sz w:val="24"/>
                <w:szCs w:val="24"/>
              </w:rPr>
              <w:t>人数</w:t>
            </w:r>
          </w:p>
        </w:tc>
        <w:tc>
          <w:tcPr>
            <w:tcW w:w="1276" w:type="dxa"/>
          </w:tcPr>
          <w:p w:rsidR="00870B41" w:rsidRDefault="00A35CB6">
            <w:pPr>
              <w:spacing w:before="100" w:beforeAutospacing="1" w:line="360" w:lineRule="auto"/>
              <w:jc w:val="center"/>
              <w:rPr>
                <w:b/>
                <w:sz w:val="24"/>
                <w:szCs w:val="24"/>
              </w:rPr>
            </w:pPr>
            <w:r>
              <w:rPr>
                <w:rFonts w:hint="eastAsia"/>
                <w:b/>
                <w:sz w:val="24"/>
                <w:szCs w:val="24"/>
              </w:rPr>
              <w:t>学历</w:t>
            </w:r>
          </w:p>
        </w:tc>
        <w:tc>
          <w:tcPr>
            <w:tcW w:w="1134" w:type="dxa"/>
          </w:tcPr>
          <w:p w:rsidR="00870B41" w:rsidRDefault="00A35CB6">
            <w:pPr>
              <w:spacing w:before="100" w:beforeAutospacing="1" w:line="360" w:lineRule="auto"/>
              <w:jc w:val="center"/>
              <w:rPr>
                <w:b/>
                <w:sz w:val="24"/>
                <w:szCs w:val="24"/>
              </w:rPr>
            </w:pPr>
            <w:r>
              <w:rPr>
                <w:rFonts w:hint="eastAsia"/>
                <w:b/>
                <w:sz w:val="24"/>
                <w:szCs w:val="24"/>
              </w:rPr>
              <w:t>专业</w:t>
            </w:r>
          </w:p>
        </w:tc>
        <w:tc>
          <w:tcPr>
            <w:tcW w:w="6095" w:type="dxa"/>
          </w:tcPr>
          <w:p w:rsidR="00870B41" w:rsidRDefault="00A35CB6">
            <w:pPr>
              <w:spacing w:before="100" w:beforeAutospacing="1" w:line="360" w:lineRule="auto"/>
              <w:jc w:val="center"/>
              <w:rPr>
                <w:b/>
                <w:sz w:val="24"/>
                <w:szCs w:val="24"/>
              </w:rPr>
            </w:pPr>
            <w:r>
              <w:rPr>
                <w:rFonts w:ascii="华文细黑" w:eastAsia="华文细黑" w:hAnsi="华文细黑" w:cs="宋体" w:hint="eastAsia"/>
                <w:b/>
                <w:bCs/>
                <w:kern w:val="0"/>
                <w:sz w:val="24"/>
                <w:szCs w:val="24"/>
              </w:rPr>
              <w:t>招聘要求</w:t>
            </w:r>
          </w:p>
        </w:tc>
      </w:tr>
      <w:tr w:rsidR="00870B41">
        <w:tc>
          <w:tcPr>
            <w:tcW w:w="1242" w:type="dxa"/>
          </w:tcPr>
          <w:p w:rsidR="00870B41" w:rsidRDefault="00A35CB6">
            <w:pPr>
              <w:spacing w:before="100" w:beforeAutospacing="1" w:line="360" w:lineRule="auto"/>
              <w:rPr>
                <w:b/>
                <w:sz w:val="24"/>
                <w:szCs w:val="24"/>
              </w:rPr>
            </w:pPr>
            <w:r>
              <w:rPr>
                <w:rFonts w:hint="eastAsia"/>
                <w:b/>
                <w:sz w:val="24"/>
                <w:szCs w:val="24"/>
              </w:rPr>
              <w:t>实习生</w:t>
            </w:r>
          </w:p>
        </w:tc>
        <w:tc>
          <w:tcPr>
            <w:tcW w:w="1134" w:type="dxa"/>
          </w:tcPr>
          <w:p w:rsidR="00870B41" w:rsidRDefault="00A35CB6">
            <w:pPr>
              <w:spacing w:before="100" w:beforeAutospacing="1" w:line="360" w:lineRule="auto"/>
              <w:rPr>
                <w:b/>
                <w:sz w:val="24"/>
                <w:szCs w:val="24"/>
              </w:rPr>
            </w:pPr>
            <w:r>
              <w:rPr>
                <w:rFonts w:hint="eastAsia"/>
                <w:b/>
                <w:sz w:val="24"/>
                <w:szCs w:val="24"/>
              </w:rPr>
              <w:t>女</w:t>
            </w:r>
            <w:r>
              <w:rPr>
                <w:rFonts w:hint="eastAsia"/>
                <w:b/>
                <w:sz w:val="24"/>
                <w:szCs w:val="24"/>
              </w:rPr>
              <w:t>25</w:t>
            </w:r>
            <w:r>
              <w:rPr>
                <w:rFonts w:hint="eastAsia"/>
                <w:b/>
                <w:sz w:val="24"/>
                <w:szCs w:val="24"/>
              </w:rPr>
              <w:t>人</w:t>
            </w:r>
          </w:p>
        </w:tc>
        <w:tc>
          <w:tcPr>
            <w:tcW w:w="1276" w:type="dxa"/>
          </w:tcPr>
          <w:p w:rsidR="00870B41" w:rsidRDefault="00A35CB6">
            <w:pPr>
              <w:spacing w:before="100" w:beforeAutospacing="1" w:line="360" w:lineRule="auto"/>
              <w:rPr>
                <w:b/>
                <w:sz w:val="24"/>
                <w:szCs w:val="24"/>
              </w:rPr>
            </w:pPr>
            <w:r>
              <w:rPr>
                <w:rFonts w:hint="eastAsia"/>
                <w:b/>
                <w:sz w:val="24"/>
                <w:szCs w:val="24"/>
              </w:rPr>
              <w:t>中专以上</w:t>
            </w:r>
          </w:p>
        </w:tc>
        <w:tc>
          <w:tcPr>
            <w:tcW w:w="1134" w:type="dxa"/>
          </w:tcPr>
          <w:p w:rsidR="00870B41" w:rsidRDefault="00A35CB6">
            <w:pPr>
              <w:spacing w:before="100" w:beforeAutospacing="1" w:line="360" w:lineRule="auto"/>
              <w:rPr>
                <w:b/>
                <w:sz w:val="24"/>
                <w:szCs w:val="24"/>
              </w:rPr>
            </w:pPr>
            <w:r>
              <w:rPr>
                <w:rFonts w:ascii="宋体" w:hAnsi="宋体" w:cs="宋体" w:hint="eastAsia"/>
                <w:b/>
                <w:kern w:val="0"/>
                <w:sz w:val="24"/>
                <w:szCs w:val="24"/>
              </w:rPr>
              <w:t>药学、制药等相关专业</w:t>
            </w:r>
          </w:p>
        </w:tc>
        <w:tc>
          <w:tcPr>
            <w:tcW w:w="6095" w:type="dxa"/>
          </w:tcPr>
          <w:p w:rsidR="00870B41" w:rsidRDefault="00A35CB6">
            <w:pPr>
              <w:spacing w:before="100" w:beforeAutospacing="1" w:line="360" w:lineRule="auto"/>
              <w:rPr>
                <w:b/>
                <w:sz w:val="24"/>
                <w:szCs w:val="24"/>
              </w:rPr>
            </w:pPr>
            <w:r>
              <w:rPr>
                <w:rFonts w:hint="eastAsia"/>
                <w:b/>
                <w:color w:val="000000"/>
                <w:sz w:val="24"/>
                <w:szCs w:val="24"/>
              </w:rPr>
              <w:t>专业知识扎实，勤奋好学，对工作有高度责任感，能吃苦耐劳，具有较强的团队合作意识和不断创新精神，人际沟通能力强。</w:t>
            </w:r>
          </w:p>
        </w:tc>
      </w:tr>
    </w:tbl>
    <w:p w:rsidR="00870B41" w:rsidRDefault="00A35CB6">
      <w:pPr>
        <w:rPr>
          <w:rFonts w:ascii="华文细黑" w:eastAsia="华文细黑" w:hAnsi="华文细黑"/>
          <w:b/>
          <w:sz w:val="24"/>
          <w:szCs w:val="24"/>
        </w:rPr>
      </w:pPr>
      <w:r>
        <w:rPr>
          <w:rFonts w:hint="eastAsia"/>
          <w:b/>
          <w:sz w:val="24"/>
          <w:szCs w:val="24"/>
        </w:rPr>
        <w:t>一、</w:t>
      </w:r>
      <w:r>
        <w:rPr>
          <w:rFonts w:ascii="华文细黑" w:eastAsia="华文细黑" w:hAnsi="华文细黑" w:hint="eastAsia"/>
          <w:b/>
          <w:sz w:val="24"/>
          <w:szCs w:val="24"/>
        </w:rPr>
        <w:t>招聘职位：营业员、文员。</w:t>
      </w:r>
    </w:p>
    <w:p w:rsidR="00870B41" w:rsidRDefault="00A35CB6">
      <w:pPr>
        <w:spacing w:before="100" w:beforeAutospacing="1" w:line="360" w:lineRule="auto"/>
        <w:rPr>
          <w:b/>
          <w:sz w:val="24"/>
          <w:szCs w:val="24"/>
        </w:rPr>
      </w:pPr>
      <w:r>
        <w:rPr>
          <w:rFonts w:hint="eastAsia"/>
          <w:b/>
          <w:sz w:val="24"/>
          <w:szCs w:val="24"/>
        </w:rPr>
        <w:t>二、工作时间：公司实行每天</w:t>
      </w:r>
      <w:r>
        <w:rPr>
          <w:rFonts w:hint="eastAsia"/>
          <w:b/>
          <w:sz w:val="24"/>
          <w:szCs w:val="24"/>
        </w:rPr>
        <w:t>8</w:t>
      </w:r>
      <w:r>
        <w:rPr>
          <w:rFonts w:hint="eastAsia"/>
          <w:b/>
          <w:sz w:val="24"/>
          <w:szCs w:val="24"/>
        </w:rPr>
        <w:t>小时工作制，岗位分两班，每月休息</w:t>
      </w:r>
      <w:r>
        <w:rPr>
          <w:rFonts w:hint="eastAsia"/>
          <w:b/>
          <w:sz w:val="24"/>
          <w:szCs w:val="24"/>
        </w:rPr>
        <w:t>2</w:t>
      </w:r>
      <w:r>
        <w:rPr>
          <w:rFonts w:hint="eastAsia"/>
          <w:b/>
          <w:sz w:val="24"/>
          <w:szCs w:val="24"/>
        </w:rPr>
        <w:t>天。</w:t>
      </w:r>
    </w:p>
    <w:p w:rsidR="00870B41" w:rsidRDefault="00A35CB6" w:rsidP="0007470E">
      <w:pPr>
        <w:spacing w:beforeLines="50" w:line="360" w:lineRule="auto"/>
        <w:rPr>
          <w:b/>
          <w:sz w:val="24"/>
          <w:szCs w:val="24"/>
        </w:rPr>
      </w:pPr>
      <w:r>
        <w:rPr>
          <w:rFonts w:hint="eastAsia"/>
          <w:b/>
          <w:sz w:val="24"/>
          <w:szCs w:val="24"/>
        </w:rPr>
        <w:t>三、薪酬待遇：</w:t>
      </w:r>
    </w:p>
    <w:p w:rsidR="00870B41" w:rsidRDefault="00A35CB6">
      <w:pPr>
        <w:spacing w:line="360" w:lineRule="auto"/>
        <w:ind w:leftChars="228" w:left="840" w:hangingChars="150" w:hanging="361"/>
        <w:rPr>
          <w:b/>
          <w:sz w:val="24"/>
          <w:szCs w:val="24"/>
        </w:rPr>
      </w:pPr>
      <w:r>
        <w:rPr>
          <w:rFonts w:hint="eastAsia"/>
          <w:b/>
          <w:sz w:val="24"/>
          <w:szCs w:val="24"/>
        </w:rPr>
        <w:lastRenderedPageBreak/>
        <w:t>1</w:t>
      </w:r>
      <w:r>
        <w:rPr>
          <w:rFonts w:hint="eastAsia"/>
          <w:b/>
          <w:sz w:val="24"/>
          <w:szCs w:val="24"/>
        </w:rPr>
        <w:t>、实习生实习期间底薪＋岗位奖金</w:t>
      </w:r>
      <w:r>
        <w:rPr>
          <w:rFonts w:hint="eastAsia"/>
          <w:b/>
          <w:sz w:val="24"/>
          <w:szCs w:val="24"/>
        </w:rPr>
        <w:t>2000</w:t>
      </w:r>
      <w:r>
        <w:rPr>
          <w:rFonts w:hint="eastAsia"/>
          <w:b/>
          <w:sz w:val="24"/>
          <w:szCs w:val="24"/>
        </w:rPr>
        <w:t>元</w:t>
      </w:r>
      <w:r>
        <w:rPr>
          <w:rFonts w:hint="eastAsia"/>
          <w:b/>
          <w:sz w:val="24"/>
          <w:szCs w:val="24"/>
        </w:rPr>
        <w:t>/</w:t>
      </w:r>
      <w:r>
        <w:rPr>
          <w:rFonts w:hint="eastAsia"/>
          <w:b/>
          <w:sz w:val="24"/>
          <w:szCs w:val="24"/>
        </w:rPr>
        <w:t>月，包住宿和工作餐，实习期为三个月由公司购买实习员工团体意外险。</w:t>
      </w:r>
    </w:p>
    <w:p w:rsidR="00870B41" w:rsidRDefault="00A35CB6">
      <w:pPr>
        <w:spacing w:line="360" w:lineRule="auto"/>
        <w:ind w:leftChars="228" w:left="840" w:hangingChars="150" w:hanging="361"/>
        <w:rPr>
          <w:b/>
          <w:sz w:val="24"/>
          <w:szCs w:val="24"/>
        </w:rPr>
      </w:pPr>
      <w:r>
        <w:rPr>
          <w:rFonts w:hint="eastAsia"/>
          <w:b/>
          <w:sz w:val="24"/>
          <w:szCs w:val="24"/>
        </w:rPr>
        <w:t>2</w:t>
      </w:r>
      <w:r>
        <w:rPr>
          <w:rFonts w:hint="eastAsia"/>
          <w:b/>
          <w:sz w:val="24"/>
          <w:szCs w:val="24"/>
        </w:rPr>
        <w:t>、实习期结束后，经考核合格者予以转正，底薪＋提成＋岗位奖金综合月收入</w:t>
      </w:r>
      <w:r>
        <w:rPr>
          <w:rFonts w:hint="eastAsia"/>
          <w:b/>
          <w:sz w:val="24"/>
          <w:szCs w:val="24"/>
        </w:rPr>
        <w:t>2500-5000</w:t>
      </w:r>
      <w:r>
        <w:rPr>
          <w:rFonts w:hint="eastAsia"/>
          <w:b/>
          <w:sz w:val="24"/>
          <w:szCs w:val="24"/>
        </w:rPr>
        <w:t>元，年终带薪休假和年终奖金，公司购买五险一金等。</w:t>
      </w:r>
    </w:p>
    <w:p w:rsidR="00870B41" w:rsidRDefault="00A35CB6">
      <w:pPr>
        <w:spacing w:line="360" w:lineRule="auto"/>
        <w:ind w:leftChars="228" w:left="840" w:hangingChars="150" w:hanging="361"/>
        <w:rPr>
          <w:b/>
          <w:sz w:val="24"/>
          <w:szCs w:val="24"/>
        </w:rPr>
      </w:pPr>
      <w:r>
        <w:rPr>
          <w:rFonts w:hint="eastAsia"/>
          <w:b/>
          <w:sz w:val="24"/>
          <w:szCs w:val="24"/>
        </w:rPr>
        <w:t>3</w:t>
      </w:r>
      <w:r>
        <w:rPr>
          <w:rFonts w:hint="eastAsia"/>
          <w:b/>
          <w:sz w:val="24"/>
          <w:szCs w:val="24"/>
        </w:rPr>
        <w:t>、实习生入司前由公司统一安排体检，体检不合格者（传染病、大小三阳、青霉素过敏等不能从事制药生产岗位）将退回原校。</w:t>
      </w:r>
    </w:p>
    <w:p w:rsidR="00870B41" w:rsidRDefault="00870B41" w:rsidP="0007470E">
      <w:pPr>
        <w:spacing w:afterLines="50"/>
        <w:ind w:leftChars="50" w:left="105" w:firstLineChars="150" w:firstLine="360"/>
        <w:rPr>
          <w:sz w:val="24"/>
          <w:szCs w:val="24"/>
        </w:rPr>
      </w:pPr>
    </w:p>
    <w:p w:rsidR="00870B41" w:rsidRDefault="00A35CB6" w:rsidP="0007470E">
      <w:pPr>
        <w:spacing w:afterLines="50"/>
        <w:ind w:leftChars="50" w:left="105" w:firstLineChars="150" w:firstLine="361"/>
        <w:rPr>
          <w:b/>
          <w:sz w:val="24"/>
          <w:szCs w:val="24"/>
        </w:rPr>
      </w:pPr>
      <w:r>
        <w:rPr>
          <w:rFonts w:hint="eastAsia"/>
          <w:b/>
          <w:sz w:val="24"/>
          <w:szCs w:val="24"/>
        </w:rPr>
        <w:t>公司地址：广州市萝岗区萝平路水西路段</w:t>
      </w:r>
      <w:r>
        <w:rPr>
          <w:rFonts w:hint="eastAsia"/>
          <w:b/>
          <w:sz w:val="24"/>
          <w:szCs w:val="24"/>
        </w:rPr>
        <w:t>1</w:t>
      </w:r>
      <w:r>
        <w:rPr>
          <w:rFonts w:hint="eastAsia"/>
          <w:b/>
          <w:sz w:val="24"/>
          <w:szCs w:val="24"/>
        </w:rPr>
        <w:t>号</w:t>
      </w:r>
      <w:r>
        <w:rPr>
          <w:rFonts w:hint="eastAsia"/>
          <w:b/>
          <w:sz w:val="24"/>
          <w:szCs w:val="24"/>
        </w:rPr>
        <w:t>C1001</w:t>
      </w:r>
      <w:r>
        <w:rPr>
          <w:rFonts w:hint="eastAsia"/>
          <w:b/>
          <w:sz w:val="24"/>
          <w:szCs w:val="24"/>
        </w:rPr>
        <w:t>之一</w:t>
      </w:r>
    </w:p>
    <w:p w:rsidR="00870B41" w:rsidRDefault="00870B41" w:rsidP="0007470E">
      <w:pPr>
        <w:spacing w:afterLines="50"/>
        <w:ind w:leftChars="50" w:left="105" w:firstLineChars="150" w:firstLine="360"/>
        <w:rPr>
          <w:sz w:val="24"/>
          <w:szCs w:val="24"/>
        </w:rPr>
      </w:pPr>
      <w:bookmarkStart w:id="0" w:name="_GoBack"/>
      <w:bookmarkEnd w:id="0"/>
    </w:p>
    <w:p w:rsidR="00870B41" w:rsidRDefault="00870B41">
      <w:pPr>
        <w:rPr>
          <w:sz w:val="24"/>
          <w:szCs w:val="24"/>
        </w:rPr>
      </w:pPr>
    </w:p>
    <w:sectPr w:rsidR="00870B41" w:rsidSect="00870B41">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CB6" w:rsidRDefault="00A35CB6" w:rsidP="0007470E">
      <w:r>
        <w:separator/>
      </w:r>
    </w:p>
  </w:endnote>
  <w:endnote w:type="continuationSeparator" w:id="1">
    <w:p w:rsidR="00A35CB6" w:rsidRDefault="00A35CB6" w:rsidP="000747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CB6" w:rsidRDefault="00A35CB6" w:rsidP="0007470E">
      <w:r>
        <w:separator/>
      </w:r>
    </w:p>
  </w:footnote>
  <w:footnote w:type="continuationSeparator" w:id="1">
    <w:p w:rsidR="00A35CB6" w:rsidRDefault="00A35CB6" w:rsidP="000747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21CA"/>
    <w:rsid w:val="0004690C"/>
    <w:rsid w:val="0007470E"/>
    <w:rsid w:val="000922F2"/>
    <w:rsid w:val="002B21CA"/>
    <w:rsid w:val="003F5A0A"/>
    <w:rsid w:val="004F5B8C"/>
    <w:rsid w:val="00671F82"/>
    <w:rsid w:val="00870B41"/>
    <w:rsid w:val="008C2242"/>
    <w:rsid w:val="0098584B"/>
    <w:rsid w:val="009E0626"/>
    <w:rsid w:val="00A35CB6"/>
    <w:rsid w:val="00BD1D94"/>
    <w:rsid w:val="74E820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B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70B41"/>
    <w:rPr>
      <w:sz w:val="18"/>
      <w:szCs w:val="18"/>
    </w:rPr>
  </w:style>
  <w:style w:type="paragraph" w:styleId="a4">
    <w:name w:val="footer"/>
    <w:basedOn w:val="a"/>
    <w:link w:val="Char0"/>
    <w:uiPriority w:val="99"/>
    <w:unhideWhenUsed/>
    <w:qFormat/>
    <w:rsid w:val="00870B41"/>
    <w:pPr>
      <w:tabs>
        <w:tab w:val="center" w:pos="4153"/>
        <w:tab w:val="right" w:pos="8306"/>
      </w:tabs>
      <w:snapToGrid w:val="0"/>
      <w:jc w:val="left"/>
    </w:pPr>
    <w:rPr>
      <w:sz w:val="18"/>
      <w:szCs w:val="18"/>
    </w:rPr>
  </w:style>
  <w:style w:type="paragraph" w:styleId="a5">
    <w:name w:val="header"/>
    <w:basedOn w:val="a"/>
    <w:link w:val="Char1"/>
    <w:uiPriority w:val="99"/>
    <w:unhideWhenUsed/>
    <w:rsid w:val="00870B4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870B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870B41"/>
    <w:rPr>
      <w:sz w:val="18"/>
      <w:szCs w:val="18"/>
    </w:rPr>
  </w:style>
  <w:style w:type="character" w:customStyle="1" w:styleId="Char0">
    <w:name w:val="页脚 Char"/>
    <w:basedOn w:val="a0"/>
    <w:link w:val="a4"/>
    <w:uiPriority w:val="99"/>
    <w:semiHidden/>
    <w:qFormat/>
    <w:rsid w:val="00870B41"/>
    <w:rPr>
      <w:sz w:val="18"/>
      <w:szCs w:val="18"/>
    </w:rPr>
  </w:style>
  <w:style w:type="character" w:customStyle="1" w:styleId="Char">
    <w:name w:val="批注框文本 Char"/>
    <w:basedOn w:val="a0"/>
    <w:link w:val="a3"/>
    <w:uiPriority w:val="99"/>
    <w:semiHidden/>
    <w:rsid w:val="00870B4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2017-03-30T03:49:00Z</dcterms:created>
  <dcterms:modified xsi:type="dcterms:W3CDTF">2017-03-30T03:49:00Z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