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z w:val="44"/>
          <w:szCs w:val="44"/>
        </w:rPr>
        <w:t>中药调剂项目竞赛方案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竞赛内容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中药调剂赛项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（一）初赛内容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中药调剂技术涉及到的理论测试。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（二）复赛内容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审方，中药饮片调配操作考试。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二、竞赛对象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17级中药专业三年高职学生。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15级中药专业五年高职学生。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三、竞赛流程及报名方法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中药学院发布报名通知和渠道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关注竞赛消息</w:t>
      </w:r>
      <w:r>
        <w:rPr>
          <w:rFonts w:hint="eastAsia" w:ascii="Arial" w:hAnsi="Arial" w:eastAsia="仿宋" w:cs="Arial"/>
          <w:bCs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sz w:val="28"/>
          <w:szCs w:val="28"/>
        </w:rPr>
        <w:t>及时报名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参加初赛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入围选手参加培训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选手参加决赛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公布竞赛结果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四、竞赛方式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初赛以笔试的形式进行，时量为30分钟。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决赛以实验操作的形式进行，审方10分钟，调配操作20分钟。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五、竞赛规则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（一）比赛组织严格遵循公平、公正、公开原则，评委应认真履行职责，尊重选手，公平评判。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文明参赛、文明观赛。参赛人员应尊重评委，遵守竞赛纪律和竞赛要求，不得影响其他参赛选手正常参赛，不得无视裁判的评判要求。对不文明现象，组委会应及时制止并反馈相关科室，按教学、学生管理有关规定严肃处理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（三）诚实、守时、守信。对选手在竞赛过程中出现的违规或延误等情况，经核实后，组委会取消其成绩或参赛资格。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（四）竞赛过程中出现争议时，应及时报告组委会，并由仲裁委员会进行仲裁，不得干扰比赛的正常进行，否则取消参赛成绩或参赛资格。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</w:t>
      </w:r>
      <w:r>
        <w:rPr>
          <w:rFonts w:hint="eastAsia" w:ascii="仿宋" w:hAnsi="仿宋" w:eastAsia="仿宋" w:cs="仿宋"/>
          <w:sz w:val="28"/>
          <w:szCs w:val="28"/>
        </w:rPr>
        <w:t>个人赛项初赛人数不足50人，不设赛项；团队赛项初赛团队不足30个，不设赛项；若团队赛项无初赛的，决赛团队不得低于10个，否则不设赛项。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六、评分标准</w:t>
      </w:r>
    </w:p>
    <w:tbl>
      <w:tblPr>
        <w:tblStyle w:val="5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6051"/>
        <w:gridCol w:w="927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</w:t>
            </w:r>
          </w:p>
        </w:tc>
        <w:tc>
          <w:tcPr>
            <w:tcW w:w="6051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要求与扣分标准</w:t>
            </w:r>
          </w:p>
        </w:tc>
        <w:tc>
          <w:tcPr>
            <w:tcW w:w="927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扣分</w:t>
            </w:r>
          </w:p>
        </w:tc>
        <w:tc>
          <w:tcPr>
            <w:tcW w:w="1084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1.审核处方</w:t>
            </w:r>
          </w:p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(10分)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审查前记、正文、后记内容完整，书写规范，无配伍禁忌，无超剂量，处方为合法处方，符合合理用药。</w:t>
            </w:r>
            <w:r>
              <w:rPr>
                <w:rFonts w:ascii="宋体" w:hAnsi="宋体"/>
                <w:szCs w:val="21"/>
              </w:rPr>
              <w:t>认真审方、正确标注处方不合格之处，</w:t>
            </w:r>
            <w:r>
              <w:rPr>
                <w:rFonts w:hint="eastAsia" w:ascii="宋体" w:hAnsi="宋体"/>
                <w:szCs w:val="21"/>
              </w:rPr>
              <w:t>并正确修改，</w:t>
            </w:r>
            <w:r>
              <w:rPr>
                <w:rFonts w:ascii="宋体" w:hAnsi="宋体"/>
                <w:szCs w:val="21"/>
              </w:rPr>
              <w:t>得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分，每漏注一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>不合格之处</w:t>
            </w:r>
            <w:r>
              <w:rPr>
                <w:rFonts w:hint="eastAsia" w:ascii="宋体" w:hAnsi="宋体"/>
                <w:szCs w:val="21"/>
              </w:rPr>
              <w:t>或修改错误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after="1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2.验戥准备</w:t>
            </w:r>
          </w:p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(5分)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衣帽清洁，双手清洁、指甲合格，得1分，否则扣1分。清洁桌面，得1分，否则扣1分。</w:t>
            </w:r>
          </w:p>
        </w:tc>
        <w:tc>
          <w:tcPr>
            <w:tcW w:w="927" w:type="dxa"/>
            <w:vMerge w:val="restart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vMerge w:val="restart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51" w:type="dxa"/>
          </w:tcPr>
          <w:p>
            <w:pPr>
              <w:spacing w:after="1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检查戥子是否洁净，检查冲筒（铜缸子）是否洁净，审慎、包装纸整齐放置，得1分，否则扣1分。</w:t>
            </w:r>
          </w:p>
        </w:tc>
        <w:tc>
          <w:tcPr>
            <w:tcW w:w="927" w:type="dxa"/>
            <w:vMerge w:val="continue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vMerge w:val="continue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51" w:type="dxa"/>
          </w:tcPr>
          <w:p>
            <w:pPr>
              <w:spacing w:after="1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持戥（左手持戥，手心向上），查戥，校戥（面向顾客，左手不挨戥），得3分，否则扣3分。</w:t>
            </w:r>
          </w:p>
        </w:tc>
        <w:tc>
          <w:tcPr>
            <w:tcW w:w="927" w:type="dxa"/>
            <w:vMerge w:val="continue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vMerge w:val="continue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3.分戥称量</w:t>
            </w:r>
            <w:r>
              <w:rPr>
                <w:rFonts w:hint="eastAsia" w:ascii="宋体" w:hAnsi="宋体"/>
                <w:szCs w:val="21"/>
              </w:rPr>
              <w:t>(5分)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调配时逐剂减戥称量的得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分；一次未减戥称量或大把抓药或总量称定后凭经验估分的扣1分，</w:t>
            </w:r>
            <w:r>
              <w:rPr>
                <w:rFonts w:hint="eastAsia" w:ascii="宋体" w:hAnsi="宋体"/>
                <w:szCs w:val="21"/>
              </w:rPr>
              <w:t>直至扣完5分为止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4.按序调配、单味分列</w:t>
            </w:r>
            <w:r>
              <w:rPr>
                <w:rFonts w:hint="eastAsia" w:ascii="宋体" w:hAnsi="宋体"/>
                <w:szCs w:val="21"/>
              </w:rPr>
              <w:t>(10分)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按序调配、单味分列、无混杂、无散落、无遗漏、无错配等现象的得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分；称量排放顺序混乱的扣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分；药物混杂的扣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分；药物撒在台面上未拣回或撒在地上的扣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；抓错一味药，调配不得分（扣10分）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5.单包注明</w:t>
            </w:r>
            <w:r>
              <w:rPr>
                <w:rFonts w:hint="eastAsia" w:ascii="宋体" w:hAnsi="宋体"/>
                <w:szCs w:val="21"/>
              </w:rPr>
              <w:t>(5分)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应先煎、后下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特殊药物按规定单包</w:t>
            </w:r>
            <w:r>
              <w:rPr>
                <w:rFonts w:hint="eastAsia" w:ascii="宋体" w:hAnsi="宋体"/>
                <w:szCs w:val="21"/>
              </w:rPr>
              <w:t>并</w:t>
            </w:r>
            <w:r>
              <w:rPr>
                <w:rFonts w:ascii="宋体" w:hAnsi="宋体"/>
                <w:szCs w:val="21"/>
              </w:rPr>
              <w:t>注明的得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分；</w:t>
            </w:r>
            <w:r>
              <w:rPr>
                <w:rFonts w:hint="eastAsia" w:ascii="宋体" w:hAnsi="宋体"/>
                <w:szCs w:val="21"/>
              </w:rPr>
              <w:t>脚注处理错误或</w:t>
            </w:r>
            <w:r>
              <w:rPr>
                <w:rFonts w:ascii="宋体" w:hAnsi="宋体"/>
                <w:szCs w:val="21"/>
              </w:rPr>
              <w:t>未单包的扣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分，单包后未注明</w:t>
            </w:r>
            <w:r>
              <w:rPr>
                <w:rFonts w:hint="eastAsia" w:ascii="宋体" w:hAnsi="宋体"/>
                <w:szCs w:val="21"/>
              </w:rPr>
              <w:t>或标注错误的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6.复核装袋</w:t>
            </w:r>
            <w:r>
              <w:rPr>
                <w:rFonts w:hint="eastAsia" w:ascii="宋体" w:hAnsi="宋体"/>
                <w:szCs w:val="21"/>
              </w:rPr>
              <w:t>(5分)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处方调配完毕后看方对药，认真核对，确认无误后装袋折口，处方签字、药袋上注明考号的得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分；核对不认真，没有看方对药的扣</w:t>
            </w:r>
            <w:r>
              <w:rPr>
                <w:rFonts w:hint="eastAsia" w:ascii="宋体" w:hAnsi="宋体"/>
                <w:szCs w:val="21"/>
              </w:rPr>
              <w:t>0.5</w:t>
            </w:r>
            <w:r>
              <w:rPr>
                <w:rFonts w:ascii="宋体" w:hAnsi="宋体"/>
                <w:szCs w:val="21"/>
              </w:rPr>
              <w:t>分；存在缺味、错配现象没有发现的扣3分；装袋后未折口的扣</w:t>
            </w:r>
            <w:r>
              <w:rPr>
                <w:rFonts w:hint="eastAsia" w:ascii="宋体" w:hAnsi="宋体"/>
                <w:szCs w:val="21"/>
              </w:rPr>
              <w:t>0.5</w:t>
            </w:r>
            <w:r>
              <w:rPr>
                <w:rFonts w:ascii="宋体" w:hAnsi="宋体"/>
                <w:szCs w:val="21"/>
              </w:rPr>
              <w:t>分，处方签字</w:t>
            </w:r>
            <w:r>
              <w:rPr>
                <w:rFonts w:hint="eastAsia" w:ascii="宋体" w:hAnsi="宋体"/>
                <w:szCs w:val="21"/>
              </w:rPr>
              <w:t>（大药袋写患者姓名、性别、年龄）</w:t>
            </w:r>
            <w:r>
              <w:rPr>
                <w:rFonts w:ascii="宋体" w:hAnsi="宋体"/>
                <w:szCs w:val="21"/>
              </w:rPr>
              <w:t>不合要求的扣</w:t>
            </w:r>
            <w:r>
              <w:rPr>
                <w:rFonts w:hint="eastAsia" w:ascii="宋体" w:hAnsi="宋体"/>
                <w:szCs w:val="21"/>
              </w:rPr>
              <w:t>0.5</w:t>
            </w:r>
            <w:r>
              <w:rPr>
                <w:rFonts w:ascii="宋体" w:hAnsi="宋体"/>
                <w:szCs w:val="21"/>
              </w:rPr>
              <w:t>分，药袋未标注考号的扣</w:t>
            </w:r>
            <w:r>
              <w:rPr>
                <w:rFonts w:hint="eastAsia" w:ascii="宋体" w:hAnsi="宋体"/>
                <w:szCs w:val="21"/>
              </w:rPr>
              <w:t>0.5</w:t>
            </w:r>
            <w:r>
              <w:rPr>
                <w:rFonts w:ascii="宋体" w:hAnsi="宋体"/>
                <w:szCs w:val="21"/>
              </w:rPr>
              <w:t>分。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7.发药交待</w:t>
            </w:r>
            <w:r>
              <w:rPr>
                <w:rFonts w:hint="eastAsia" w:ascii="宋体" w:hAnsi="宋体"/>
                <w:szCs w:val="21"/>
              </w:rPr>
              <w:t>(5分)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发药交待的内容</w:t>
            </w:r>
            <w:r>
              <w:rPr>
                <w:rFonts w:hint="eastAsia" w:ascii="宋体" w:hAnsi="宋体"/>
                <w:szCs w:val="21"/>
              </w:rPr>
              <w:t>（煎煮器具、加水量、浸泡时间、煎药时间、饮食禁忌等）</w:t>
            </w:r>
            <w:r>
              <w:rPr>
                <w:rFonts w:ascii="宋体" w:hAnsi="宋体"/>
                <w:szCs w:val="21"/>
              </w:rPr>
              <w:t>均按要求在药袋上注明的得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分；未注明的扣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分；标注时有漏项的</w:t>
            </w:r>
            <w:r>
              <w:rPr>
                <w:rFonts w:hint="eastAsia" w:ascii="宋体" w:hAnsi="宋体"/>
                <w:szCs w:val="21"/>
              </w:rPr>
              <w:t>每项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8.及时清场</w:t>
            </w:r>
            <w:r>
              <w:rPr>
                <w:rFonts w:hint="eastAsia" w:ascii="宋体" w:hAnsi="宋体"/>
                <w:szCs w:val="21"/>
              </w:rPr>
              <w:t>(5分)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调配工作完成后及时清场，做到物归原处</w:t>
            </w:r>
            <w:r>
              <w:rPr>
                <w:rFonts w:hint="eastAsia" w:ascii="宋体" w:hAnsi="宋体"/>
                <w:szCs w:val="21"/>
              </w:rPr>
              <w:t>、清洁戥盘、戥称复原、清洁冲筒、工作台整洁</w:t>
            </w:r>
            <w:r>
              <w:rPr>
                <w:rFonts w:ascii="宋体" w:hAnsi="宋体"/>
                <w:szCs w:val="21"/>
              </w:rPr>
              <w:t>的得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。戥盘未清洁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；戥称未复原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；冲筒未清洁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；工作台不整洁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分。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9.总量误差率</w:t>
            </w:r>
            <w:r>
              <w:rPr>
                <w:rFonts w:hint="eastAsia" w:ascii="宋体" w:hAnsi="宋体"/>
                <w:szCs w:val="21"/>
              </w:rPr>
              <w:t>(15分)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低于±1%的，得</w:t>
            </w: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分；±1.01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2%的，扣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分（得</w:t>
            </w:r>
            <w:r>
              <w:rPr>
                <w:rFonts w:hint="eastAsia"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分）；±2.01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3%的，扣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分（得</w:t>
            </w: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分）；±3.01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4%，扣</w:t>
            </w: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分（得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分）；±4.01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5%的，扣</w:t>
            </w:r>
            <w:r>
              <w:rPr>
                <w:rFonts w:hint="eastAsia"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分（得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分）；超过±5%的扣</w:t>
            </w: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分（不得分）。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10.单剂最大误差率</w:t>
            </w:r>
            <w:r>
              <w:rPr>
                <w:rFonts w:hint="eastAsia" w:ascii="宋体" w:hAnsi="宋体"/>
                <w:szCs w:val="21"/>
              </w:rPr>
              <w:t>(15分)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低于±1%的，得</w:t>
            </w: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分；±1.01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2%的，扣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分（得</w:t>
            </w:r>
            <w:r>
              <w:rPr>
                <w:rFonts w:hint="eastAsia"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分）；±2.01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3%的，扣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分（得</w:t>
            </w: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分）；±3.01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4%，扣</w:t>
            </w: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分（得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分）；±4.01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5%的，扣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2分（得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分）；超过±5%的扣</w:t>
            </w: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分（不得分）。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11.调配时间</w:t>
            </w:r>
            <w:r>
              <w:rPr>
                <w:rFonts w:hint="eastAsia" w:ascii="宋体" w:hAnsi="宋体"/>
                <w:szCs w:val="21"/>
              </w:rPr>
              <w:t>(20分)</w:t>
            </w:r>
          </w:p>
        </w:tc>
        <w:tc>
          <w:tcPr>
            <w:tcW w:w="6051" w:type="dxa"/>
          </w:tcPr>
          <w:p>
            <w:pPr>
              <w:spacing w:after="12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szCs w:val="21"/>
              </w:rPr>
              <w:t>13</w:t>
            </w:r>
            <w:r>
              <w:rPr>
                <w:rFonts w:ascii="宋体" w:hAnsi="宋体"/>
                <w:szCs w:val="21"/>
              </w:rPr>
              <w:t>分钟内完成的，得</w:t>
            </w: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分；</w:t>
            </w:r>
            <w:r>
              <w:rPr>
                <w:rFonts w:hint="eastAsia" w:ascii="宋体" w:hAnsi="宋体"/>
                <w:szCs w:val="21"/>
              </w:rPr>
              <w:t>每超过1分钟扣2分，超过18分钟，得6分；超过19分钟，得2分；超过20分钟，此项不得分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294" w:type="dxa"/>
            <w:gridSpan w:val="2"/>
            <w:vAlign w:val="center"/>
          </w:tcPr>
          <w:p>
            <w:pPr>
              <w:spacing w:after="1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合计</w:t>
            </w:r>
          </w:p>
        </w:tc>
        <w:tc>
          <w:tcPr>
            <w:tcW w:w="927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</w:tcPr>
          <w:p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七、竞赛时间、地点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初赛：时间（ 3 月 9 日  星期 六 ）、地点（教学楼  教室待定）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决赛：时间（ 3 月 26 日  星期 二 ）、地点（中药调剂实训室）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八、培训安排</w:t>
      </w:r>
    </w:p>
    <w:tbl>
      <w:tblPr>
        <w:tblStyle w:val="5"/>
        <w:tblW w:w="8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78"/>
        <w:gridCol w:w="1494"/>
        <w:gridCol w:w="2158"/>
        <w:gridCol w:w="2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辅导时间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辅导对象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  月 12 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二   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0—16:00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中药调剂实训室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审方、操作</w:t>
            </w:r>
          </w:p>
        </w:tc>
      </w:tr>
    </w:tbl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九、特色创新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无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十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ascii="仿宋" w:hAnsi="仿宋" w:eastAsia="仿宋" w:cs="仿宋"/>
          <w:bCs/>
          <w:sz w:val="28"/>
          <w:szCs w:val="28"/>
        </w:rPr>
        <w:t>经费预算</w:t>
      </w:r>
    </w:p>
    <w:tbl>
      <w:tblPr>
        <w:tblStyle w:val="5"/>
        <w:tblW w:w="85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72"/>
        <w:gridCol w:w="2162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07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费用项目</w:t>
            </w:r>
          </w:p>
        </w:tc>
        <w:tc>
          <w:tcPr>
            <w:tcW w:w="216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预计费用</w:t>
            </w:r>
          </w:p>
        </w:tc>
        <w:tc>
          <w:tcPr>
            <w:tcW w:w="343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预计费用详单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</w:p>
        </w:tc>
        <w:tc>
          <w:tcPr>
            <w:tcW w:w="216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343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调剂需要饮片、包药纸等耗材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工作人员费用</w:t>
            </w:r>
          </w:p>
        </w:tc>
        <w:tc>
          <w:tcPr>
            <w:tcW w:w="216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2500</w:t>
            </w:r>
          </w:p>
        </w:tc>
        <w:tc>
          <w:tcPr>
            <w:tcW w:w="343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出卷、阅卷、监考、评委费用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培训课时费</w:t>
            </w:r>
          </w:p>
        </w:tc>
        <w:tc>
          <w:tcPr>
            <w:tcW w:w="216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300</w:t>
            </w:r>
          </w:p>
        </w:tc>
        <w:tc>
          <w:tcPr>
            <w:tcW w:w="343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926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216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3600</w:t>
            </w:r>
          </w:p>
        </w:tc>
        <w:tc>
          <w:tcPr>
            <w:tcW w:w="343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7" w:h="16839"/>
      <w:pgMar w:top="1134" w:right="1249" w:bottom="851" w:left="12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030F"/>
    <w:multiLevelType w:val="singleLevel"/>
    <w:tmpl w:val="4D8303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578"/>
    <w:rsid w:val="00034578"/>
    <w:rsid w:val="00601AC8"/>
    <w:rsid w:val="00621197"/>
    <w:rsid w:val="00A85C39"/>
    <w:rsid w:val="00AB1BCA"/>
    <w:rsid w:val="00D17BD4"/>
    <w:rsid w:val="00F27AC3"/>
    <w:rsid w:val="00F359FD"/>
    <w:rsid w:val="00F370B4"/>
    <w:rsid w:val="2C4E021C"/>
    <w:rsid w:val="2F991956"/>
    <w:rsid w:val="6C6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307</Words>
  <Characters>1753</Characters>
  <Lines>14</Lines>
  <Paragraphs>4</Paragraphs>
  <TotalTime>27</TotalTime>
  <ScaleCrop>false</ScaleCrop>
  <LinksUpToDate>false</LinksUpToDate>
  <CharactersWithSpaces>2056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2018-12-04T07:46:00Z</dcterms:created>
  <dc:creator>User</dc:creator>
  <cp:lastModifiedBy>每每</cp:lastModifiedBy>
  <dcterms:modified xsi:type="dcterms:W3CDTF">2018-12-24T08:18:41Z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