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中药显微鉴别项目竞赛方案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竞赛内容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与中药相关专业课程相关内容的笔试，50道试题，均为客观作答题，内容包括显微镜的结构与使用、显微制片方法与原理、考核范围内18种中药的显微特征、生物绘图技术等。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复赛为实操，从考核范围内的18味中药粉末中随机抽取2味中药粉末进行混合组成混合粉末，然后进行显微鉴别，包括显微制片、显微观察，绘出主要显微特征图并描述，分析得出结论，填写显微鉴别报告。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二、竞赛对象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2017级三年制中药学专业、2015级五年制中药学专业学生。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三、竞赛流程及报名方法</w:t>
      </w:r>
    </w:p>
    <w:p>
      <w:pPr>
        <w:ind w:firstLine="560" w:firstLineChars="200"/>
        <w:rPr>
          <w:rFonts w:ascii="Arial" w:hAnsi="Arial" w:eastAsia="仿宋" w:cs="Arial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中药学院发布报名通知和渠道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关注竞赛消息</w:t>
      </w:r>
      <w:r>
        <w:rPr>
          <w:rFonts w:hint="eastAsia" w:ascii="Arial" w:hAnsi="Arial" w:eastAsia="仿宋" w:cs="Arial"/>
          <w:bCs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sz w:val="28"/>
          <w:szCs w:val="28"/>
        </w:rPr>
        <w:t>及时报名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参加初赛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入围选手参加培训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选手参加决赛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公布竞赛结果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Arial" w:hAnsi="Arial" w:eastAsia="仿宋" w:cs="Arial"/>
          <w:bCs/>
          <w:sz w:val="28"/>
          <w:szCs w:val="28"/>
        </w:rPr>
        <w:t>报名方法：网络扫码报名。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四、竞赛方式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Arial" w:hAnsi="Arial" w:eastAsia="仿宋" w:cs="Arial"/>
          <w:bCs/>
          <w:sz w:val="28"/>
          <w:szCs w:val="28"/>
        </w:rPr>
        <w:t>竞赛分初赛、复赛两个阶段进行。初赛为笔试，成绩按40%折算计入总成绩；复赛主要是对混合粉末进行实操鉴别，成绩按60%折算计入总成绩。初赛以笔试的形式进行，时量为30分钟。</w:t>
      </w:r>
      <w:r>
        <w:rPr>
          <w:rFonts w:hint="eastAsia" w:ascii="仿宋" w:hAnsi="仿宋" w:eastAsia="仿宋" w:cs="仿宋"/>
          <w:bCs/>
          <w:sz w:val="28"/>
          <w:szCs w:val="28"/>
        </w:rPr>
        <w:t>复赛以实验操作的形式进行，时量为45分钟。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五、竞赛规则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（一）比赛组织严格遵循公平、公正、公开原则，评委应认真履行职责，尊重选手，公平评判。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文明参赛、文明观赛。参赛人员应尊重评委，遵守竞赛纪律和竞赛要求，不得影响其他参赛选手正常参赛，不得无视裁判的评判要求。对不文明现象，组委会应及时制止并反馈相关科室，按教学、学生管理有关规定严肃处理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（三）诚实、守时、守信。对选手在竞赛过程中出现的违规或延误等情况，经核实后，组委会取消其成绩或参赛资格。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（四）竞赛过程中出现争议时，应及时报告组委会，并由仲裁委员会进行仲裁，不得干扰比赛的正常进行，否则取消参赛成绩或参赛资格。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个人赛项初赛人数不足50人，不设赛项；团队赛项初赛团队不足30个，不设赛项；若团队赛项无初赛的，决赛团队不得低于10个，否则不设赛项。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六、评分标准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表1-1中药显微鉴别评分表</w:t>
      </w:r>
    </w:p>
    <w:p>
      <w:pPr>
        <w:spacing w:afterLines="50"/>
        <w:ind w:firstLine="360" w:firstLineChars="150"/>
        <w:rPr>
          <w:rFonts w:ascii="仿宋_GB2312" w:hAnsi="楷体" w:eastAsia="仿宋_GB2312"/>
          <w:b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班级：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 xml:space="preserve">  姓名：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比赛用时：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成绩：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 xml:space="preserve"> </w:t>
      </w:r>
    </w:p>
    <w:tbl>
      <w:tblPr>
        <w:tblStyle w:val="6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5885"/>
        <w:gridCol w:w="76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/>
              </w:rPr>
              <w:t>项目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/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/>
              </w:rPr>
              <w:t>扣分</w:t>
            </w:r>
          </w:p>
        </w:tc>
        <w:tc>
          <w:tcPr>
            <w:tcW w:w="7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粉末制片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  <w:lang w:val="zh-CN"/>
              </w:rPr>
            </w:pPr>
            <w:r>
              <w:rPr>
                <w:rFonts w:hint="eastAsia" w:ascii="仿宋_GB2312" w:eastAsia="仿宋_GB2312"/>
                <w:bCs/>
              </w:rPr>
              <w:t>（5分）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酒精灯使用，正确点火，用完后及时灭火，1分；用完后不灭火离开扣1分。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水合氯醛制片：取少量的混合药材粉末，置洁净的载玻片上，加1-2滴水合氯醛试液，用食指与大拇指持住载玻片（如用钳子把持扣1分），透化1-2次，加1-2滴稀甘油，加盖洁净的盖玻片，用吸水纸吸取多余的稀甘油，得2分；如粉末焦化，扣1分；盖玻片表面污染扣1分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水制片：取少量的的混合药材粉末，置洁净的载玻片上，加1滴水，加盖洁净的盖玻片，用吸水纸吸取多余的水，得1分；未做者扣1分。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乙醇或水合氯醛不加热制片：取少量的的混合药材粉末，置洁净的载玻片上，加1滴乙醇或水合氯醛试液，加盖洁净的盖玻片，用吸水纸吸取多余的试液，得1分；未做者扣1分。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显微镜使用（5分）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低倍镜下，将制片放置在显微镜载物台上，得2分，如在高倍镜下放入，扣2分：正确的使用光源，得1分；正确使用粗、细调节器，得2分；如在高倍镜下使用粗调节器扣2分；造成盖玻片、载玻片被镜头压碎，扣5分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  <w:lang w:val="zh-CN"/>
              </w:rPr>
            </w:pPr>
            <w:r>
              <w:rPr>
                <w:rFonts w:hint="eastAsia" w:ascii="仿宋_GB2312" w:eastAsia="仿宋_GB2312"/>
                <w:bCs/>
                <w:lang w:val="zh-CN"/>
              </w:rPr>
              <w:t>显微特征描绘（40分）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找出混合物中每种药材粉末显微特征描述的前3个指定特征（2种药合计6个）并绘图标注。指定的显微特征总数正确者以不少于5个为限，每个特征得8分，总分40分。每个显微特征绘图正确清晰得4分，绘图基本正确视情况得3分、2分、1分，未绘制出指定的显微特征不得分；显微特征图标注正确者每个得4分，未标或标错（含错字或字迹潦草无法辨认）不得分。每种药材重要的显微特征的界定依据，以2015年版《中国药典》记载该药的显微鉴别的顺序（前3种）为准。</w:t>
            </w:r>
          </w:p>
        </w:tc>
        <w:tc>
          <w:tcPr>
            <w:tcW w:w="765" w:type="dxa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  <w:lang w:val="zh-CN"/>
              </w:rPr>
            </w:pPr>
            <w:r>
              <w:rPr>
                <w:rFonts w:hint="eastAsia" w:ascii="仿宋_GB2312" w:eastAsia="仿宋_GB2312"/>
                <w:bCs/>
                <w:lang w:val="zh-CN"/>
              </w:rPr>
              <w:t>显微特征描述（20分）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  <w:lang w:val="zh-CN"/>
              </w:rPr>
            </w:pPr>
            <w:r>
              <w:rPr>
                <w:rFonts w:hint="eastAsia" w:ascii="仿宋_GB2312" w:eastAsia="仿宋_GB2312"/>
                <w:bCs/>
              </w:rPr>
              <w:t>要求显微特征描述须与上述</w:t>
            </w:r>
            <w:r>
              <w:rPr>
                <w:rFonts w:hint="eastAsia" w:ascii="仿宋_GB2312" w:eastAsia="仿宋_GB2312"/>
                <w:bCs/>
                <w:lang w:val="zh-CN"/>
              </w:rPr>
              <w:t>显微特征</w:t>
            </w:r>
            <w:r>
              <w:rPr>
                <w:rFonts w:hint="eastAsia" w:ascii="仿宋_GB2312" w:eastAsia="仿宋_GB2312"/>
                <w:bCs/>
              </w:rPr>
              <w:t>描绘一致。显微特征描述正确且与描绘一致（不要求写出特征的具体大小），每一特征得4分。描述与描绘一致但不完整视情况得3分、2分、1分，描述错误不得分。显微描述按2015年版《中国药典》记载该药的显微鉴别内容为依据进行界定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  <w:lang w:val="zh-CN"/>
              </w:rPr>
            </w:pPr>
            <w:r>
              <w:rPr>
                <w:rFonts w:hint="eastAsia" w:ascii="仿宋_GB2312" w:eastAsia="仿宋_GB2312"/>
                <w:bCs/>
                <w:lang w:val="zh-CN"/>
              </w:rPr>
              <w:t>粉末鉴别结论（30分）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写出混合粉末的药材名称（以2015年版《中国药典》规定的正名正字为准，多来源的无需写具体品种），并将上述6个显微特征归类，写出1个药材名并归类正确得15分，其中名称正确得6分，显微特征归类错误或不全面，错、漏1个扣3分。写出2个药材名并归类正确得30分。如药材名称书写错误，每个药材直接扣15分，不再判定其显微特征分类。书写必须清楚，整个药名太潦草导致评委无法辨认的，则视为答错。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4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合计</w:t>
            </w:r>
          </w:p>
        </w:tc>
        <w:tc>
          <w:tcPr>
            <w:tcW w:w="58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100</w:t>
            </w:r>
            <w:r>
              <w:rPr>
                <w:rFonts w:hint="eastAsia" w:ascii="仿宋_GB2312" w:eastAsia="仿宋_GB2312"/>
                <w:bCs/>
                <w:lang w:val="zh-CN"/>
              </w:rPr>
              <w:t>分</w:t>
            </w:r>
          </w:p>
        </w:tc>
        <w:tc>
          <w:tcPr>
            <w:tcW w:w="76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Lines="50"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</w:t>
      </w:r>
      <w:r>
        <w:rPr>
          <w:rFonts w:hint="eastAsia" w:ascii="仿宋_GB2312" w:hAnsi="宋体" w:eastAsia="仿宋_GB2312"/>
          <w:bCs/>
          <w:sz w:val="24"/>
        </w:rPr>
        <w:t>评委签字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bCs/>
          <w:sz w:val="24"/>
        </w:rPr>
        <w:t xml:space="preserve">     </w:t>
      </w:r>
      <w:r>
        <w:rPr>
          <w:rFonts w:hint="eastAsia" w:ascii="宋体" w:hAnsi="宋体" w:cs="宋体"/>
          <w:bCs/>
          <w:sz w:val="24"/>
          <w:u w:val="single"/>
        </w:rPr>
        <w:t xml:space="preserve">        </w:t>
      </w:r>
      <w:r>
        <w:rPr>
          <w:rFonts w:hint="eastAsia" w:ascii="仿宋_GB2312" w:hAnsi="宋体" w:eastAsia="仿宋_GB2312"/>
          <w:bCs/>
          <w:sz w:val="24"/>
        </w:rPr>
        <w:t xml:space="preserve">年 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24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br w:type="page"/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表1-2中药显微鉴别报告</w:t>
      </w:r>
    </w:p>
    <w:p>
      <w:pPr>
        <w:spacing w:afterLines="50"/>
        <w:rPr>
          <w:rFonts w:ascii="仿宋_GB2312" w:hAnsi="楷体" w:eastAsia="仿宋_GB2312"/>
          <w:b/>
          <w:sz w:val="24"/>
        </w:rPr>
      </w:pPr>
      <w:r>
        <w:rPr>
          <w:rFonts w:hint="eastAsia" w:ascii="仿宋_GB2312" w:eastAsia="仿宋_GB2312"/>
          <w:bCs/>
          <w:sz w:val="24"/>
        </w:rPr>
        <w:t>班级：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 xml:space="preserve">  姓名：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比赛用时：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成绩：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</w:t>
      </w:r>
    </w:p>
    <w:tbl>
      <w:tblPr>
        <w:tblStyle w:val="6"/>
        <w:tblW w:w="96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985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97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粉末号</w:t>
            </w:r>
          </w:p>
        </w:tc>
        <w:tc>
          <w:tcPr>
            <w:tcW w:w="2985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397" w:type="dxa"/>
            <w:vMerge w:val="restart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2.显微特征描述：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【结果分析】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显微特征归类：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7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鉴别项目</w:t>
            </w:r>
          </w:p>
        </w:tc>
        <w:tc>
          <w:tcPr>
            <w:tcW w:w="2985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粉末显微鉴别</w:t>
            </w:r>
          </w:p>
        </w:tc>
        <w:tc>
          <w:tcPr>
            <w:tcW w:w="5397" w:type="dxa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97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鉴别依据</w:t>
            </w:r>
          </w:p>
        </w:tc>
        <w:tc>
          <w:tcPr>
            <w:tcW w:w="2985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《中国药典》2015年版一部</w:t>
            </w:r>
          </w:p>
        </w:tc>
        <w:tc>
          <w:tcPr>
            <w:tcW w:w="5397" w:type="dxa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282" w:type="dxa"/>
            <w:gridSpan w:val="2"/>
            <w:vMerge w:val="restart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【结果】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1.显微特征描绘：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397" w:type="dxa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4282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397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【结论】：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该粉末为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和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的混合物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" w:hRule="atLeast"/>
          <w:jc w:val="center"/>
        </w:trPr>
        <w:tc>
          <w:tcPr>
            <w:tcW w:w="4282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397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评委：                日期：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七、竞赛时间、地点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初赛：时间（3月9日 星期六</w:t>
      </w:r>
      <w:r>
        <w:rPr>
          <w:rFonts w:hint="eastAsia"/>
          <w:szCs w:val="21"/>
        </w:rPr>
        <w:t>9：30-10：00</w:t>
      </w:r>
      <w:r>
        <w:rPr>
          <w:rFonts w:hint="eastAsia" w:ascii="仿宋" w:hAnsi="仿宋" w:eastAsia="仿宋" w:cs="仿宋"/>
          <w:bCs/>
          <w:sz w:val="28"/>
          <w:szCs w:val="28"/>
        </w:rPr>
        <w:t>）、地点（教学楼203、204室）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决赛：时间（3月26日星期二</w:t>
      </w:r>
      <w:r>
        <w:rPr>
          <w:rFonts w:hint="eastAsia"/>
          <w:szCs w:val="21"/>
        </w:rPr>
        <w:t>14：00开始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）、地点（实训楼209室）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八、培训安排</w:t>
      </w:r>
    </w:p>
    <w:tbl>
      <w:tblPr>
        <w:tblStyle w:val="6"/>
        <w:tblW w:w="8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25"/>
        <w:gridCol w:w="1494"/>
        <w:gridCol w:w="2158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3月12日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二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显微鉴别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3月14日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四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显微鉴别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3月19日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二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显微鉴别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3月21日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四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显微鉴别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九、特色创新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1.形式创新   无创新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2.内容创新   无创新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3.评价方式创新  无创新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sz w:val="28"/>
          <w:szCs w:val="28"/>
        </w:rPr>
        <w:t>经费预算</w:t>
      </w:r>
    </w:p>
    <w:tbl>
      <w:tblPr>
        <w:tblStyle w:val="6"/>
        <w:tblW w:w="9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984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费用项目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预计费用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预计费用详单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1000元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饮片、载玻片、盖玻片、擦镜纸、宣传画报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工作人员费用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1000元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方案、出卷、监考、阅卷、评委、考务等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培训课时费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800元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2800元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color w:val="0000FF"/>
          <w:sz w:val="30"/>
          <w:szCs w:val="30"/>
        </w:rPr>
      </w:pPr>
    </w:p>
    <w:p>
      <w:pPr>
        <w:spacing w:line="440" w:lineRule="exact"/>
        <w:ind w:firstLine="602" w:firstLineChars="250"/>
        <w:rPr>
          <w:b/>
          <w:sz w:val="24"/>
        </w:rPr>
      </w:pPr>
      <w:r>
        <w:rPr>
          <w:rFonts w:hint="eastAsia"/>
          <w:b/>
          <w:sz w:val="24"/>
        </w:rPr>
        <w:t xml:space="preserve">附表1：          </w:t>
      </w:r>
    </w:p>
    <w:p>
      <w:pPr>
        <w:spacing w:line="440" w:lineRule="exact"/>
        <w:ind w:firstLine="602" w:firstLineChars="250"/>
        <w:jc w:val="center"/>
        <w:rPr>
          <w:sz w:val="24"/>
        </w:rPr>
      </w:pPr>
      <w:r>
        <w:rPr>
          <w:rFonts w:hint="eastAsia" w:ascii="宋体" w:hAnsi="宋体" w:cs="宋体"/>
          <w:b/>
          <w:sz w:val="24"/>
        </w:rPr>
        <w:t>中药显微粉末品种目录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1人参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4五味子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7麻黄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10黄连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13牡丹皮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16番泻叶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2甘草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5小茴香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8槟榔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11半夏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14厚朴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17红花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3大黄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6薄荷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9猪苓</w:t>
            </w:r>
          </w:p>
        </w:tc>
        <w:tc>
          <w:tcPr>
            <w:tcW w:w="1420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12浙贝母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15黄柏</w:t>
            </w:r>
          </w:p>
        </w:tc>
        <w:tc>
          <w:tcPr>
            <w:tcW w:w="1421" w:type="dxa"/>
          </w:tcPr>
          <w:p>
            <w:pPr>
              <w:pStyle w:val="2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18丁香</w:t>
            </w:r>
          </w:p>
        </w:tc>
      </w:tr>
    </w:tbl>
    <w:p>
      <w:pPr>
        <w:rPr>
          <w:rFonts w:ascii="仿宋" w:hAnsi="仿宋" w:eastAsia="仿宋" w:cs="仿宋"/>
          <w:b/>
          <w:sz w:val="28"/>
          <w:szCs w:val="28"/>
        </w:rPr>
      </w:pPr>
    </w:p>
    <w:p/>
    <w:sectPr>
      <w:pgSz w:w="11907" w:h="16839"/>
      <w:pgMar w:top="1134" w:right="851" w:bottom="85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030F"/>
    <w:multiLevelType w:val="singleLevel"/>
    <w:tmpl w:val="4D830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578"/>
    <w:rsid w:val="00034578"/>
    <w:rsid w:val="00200529"/>
    <w:rsid w:val="002919D4"/>
    <w:rsid w:val="003D503D"/>
    <w:rsid w:val="00510275"/>
    <w:rsid w:val="005D435C"/>
    <w:rsid w:val="00673E5F"/>
    <w:rsid w:val="006B105A"/>
    <w:rsid w:val="00752897"/>
    <w:rsid w:val="00785434"/>
    <w:rsid w:val="00892B02"/>
    <w:rsid w:val="008E070E"/>
    <w:rsid w:val="009C3BE9"/>
    <w:rsid w:val="009F2AFD"/>
    <w:rsid w:val="009F44F1"/>
    <w:rsid w:val="00A236EE"/>
    <w:rsid w:val="00A33ACA"/>
    <w:rsid w:val="00A432E1"/>
    <w:rsid w:val="00A85C39"/>
    <w:rsid w:val="00CE0E77"/>
    <w:rsid w:val="00E251EC"/>
    <w:rsid w:val="00F359FD"/>
    <w:rsid w:val="00F370B4"/>
    <w:rsid w:val="00FF6829"/>
    <w:rsid w:val="2334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</w:style>
  <w:style w:type="character" w:customStyle="1" w:styleId="10">
    <w:name w:val="正文文本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418</Words>
  <Characters>2387</Characters>
  <Lines>19</Lines>
  <Paragraphs>5</Paragraphs>
  <TotalTime>8</TotalTime>
  <ScaleCrop>false</ScaleCrop>
  <LinksUpToDate>false</LinksUpToDate>
  <CharactersWithSpaces>2800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2018-12-20T13:45:00Z</dcterms:created>
  <dc:creator>User</dc:creator>
  <cp:lastModifiedBy>每每</cp:lastModifiedBy>
  <dcterms:modified xsi:type="dcterms:W3CDTF">2018-12-24T08:09:26Z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