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中药炮制项目竞赛方案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竞赛内容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（一）初赛内容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与《中药炮制技术》课程相关内容的笔试，50道试题，均为客观作答题，内容包括炮制目的、炮制方法（净制、切制、炮炙）等。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（二）复赛内容</w:t>
      </w:r>
    </w:p>
    <w:p>
      <w:pPr>
        <w:spacing w:line="360" w:lineRule="auto"/>
        <w:ind w:firstLine="700" w:firstLineChars="250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复赛为实操，选手在20分钟内，从限定的18味中药中抽取2味按规定程序完成2味中药的炮制操作。由裁判对其操作过程、操作时间及炮制药品的成品质量进行打分，取其平均值作为参赛选手得分。比赛的生药用量为50-100g（每味药的用量由裁判组确定）；比赛时饮片的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净制操作、分档操作、炙法中的拌润操作，均需由选手自己完成；砂烫法的辅料用河砂，不用油砂；麸炒法的辅料用麦麸，不用糖麸或蜜麸。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二、竞赛对象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2017级三年制中药学专业、2015级五年制中药学专业学生。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三、竞赛流程及报名方法</w:t>
      </w:r>
    </w:p>
    <w:p>
      <w:pPr>
        <w:ind w:firstLine="560" w:firstLineChars="200"/>
        <w:rPr>
          <w:rFonts w:ascii="Arial" w:hAnsi="Arial" w:eastAsia="仿宋" w:cs="Arial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中药学院发布报名通知和渠道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关注竞赛消息</w:t>
      </w:r>
      <w:r>
        <w:rPr>
          <w:rFonts w:hint="eastAsia" w:ascii="Arial" w:hAnsi="Arial" w:eastAsia="仿宋" w:cs="Arial"/>
          <w:bCs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sz w:val="28"/>
          <w:szCs w:val="28"/>
        </w:rPr>
        <w:t>及时报名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参加初赛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入围选手参加培训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选手参加决赛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公布竞赛结果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Arial" w:hAnsi="Arial" w:eastAsia="仿宋" w:cs="Arial"/>
          <w:bCs/>
          <w:sz w:val="28"/>
          <w:szCs w:val="28"/>
        </w:rPr>
        <w:t>报名方法：网络扫码报名。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四、竞赛方式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本次竞赛分初赛、复赛两个阶段进行。初赛为笔试，成绩按30%折算计入总成绩；复赛主要进行炮制操作，成绩按70%折算计入总成绩。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初赛以笔试的形式进行，时量为30分钟。复赛以实验操作的形式进行，时量为20分钟。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五、竞赛规则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（一）比赛组织严格遵循公平、公正、公开原则，评委应认真履行职责，尊重选手，公平评判。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文明参赛、文明观赛。参赛人员应尊重评委，遵守竞赛纪律和竞赛要求，不得影响其他参赛选手正常参赛，不得无视裁判的评判要求。对不文明现象，组委会应及时制止并反馈相关科室，按教学、学生管理有关规定严肃处理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（三）诚实、守时、守信。对选手在竞赛过程中出现的违规或延误等情况，经核实后，组委会取消其成绩或参赛资格。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（四）竞赛过程中出现争议时，应及时报告组委会，并由仲裁委员会进行仲裁，不得干扰比赛的正常进行，否则取消参赛成绩或参赛资格。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</w:t>
      </w:r>
      <w:r>
        <w:rPr>
          <w:rFonts w:hint="eastAsia" w:ascii="仿宋" w:hAnsi="仿宋" w:eastAsia="仿宋" w:cs="仿宋"/>
          <w:sz w:val="28"/>
          <w:szCs w:val="28"/>
        </w:rPr>
        <w:t>个人赛项初赛人数不足50人，不设赛项；团队赛项初赛团队不足30个，不设赛项；若团队赛项无初赛的，决赛团队不得低于10个，否则不设赛项。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六、评分标准</w:t>
      </w:r>
    </w:p>
    <w:p>
      <w:pPr>
        <w:spacing w:line="560" w:lineRule="exact"/>
        <w:jc w:val="center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中药炮制复赛评分表</w:t>
      </w:r>
    </w:p>
    <w:p>
      <w:pPr>
        <w:spacing w:line="500" w:lineRule="exact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参赛选手考号：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评委：</w:t>
      </w:r>
      <w:r>
        <w:rPr>
          <w:rFonts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成绩：</w:t>
      </w:r>
    </w:p>
    <w:tbl>
      <w:tblPr>
        <w:tblStyle w:val="6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60"/>
        <w:gridCol w:w="6095"/>
        <w:gridCol w:w="709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项目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分值</w:t>
            </w:r>
          </w:p>
        </w:tc>
        <w:tc>
          <w:tcPr>
            <w:tcW w:w="609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评分细则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</w:t>
            </w:r>
          </w:p>
        </w:tc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准备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5</w:t>
            </w:r>
          </w:p>
        </w:tc>
        <w:tc>
          <w:tcPr>
            <w:tcW w:w="6095" w:type="dxa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（1）器具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抽签后，根据饮片炮制的需要，准备整个炮制操作过程所需的器具。清洁干净后，摆放在规定的位置。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①器具要洁净，炒前未清洁炒药锅者，扣1分；②器具要一次准备齐全，操作过程中，每再准备一种器具，扣0.5分；③器具摆放不合理或摆放杂乱者扣1分。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（2）称量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称量操作要规范。根据抽签中规定炮制用饮片的重量，正确称量；若用辅料，应根据《中国药典》的规定，经计算用量后，再称量。</w:t>
            </w:r>
          </w:p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①称量前不归零者，扣1分；②称量后称盘不放回原位置者，扣0.5分；③称量的质量要准确，差异超过±5%者，扣1分。</w:t>
            </w: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净制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5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药物炒前应净制。</w:t>
            </w:r>
          </w:p>
          <w:p>
            <w:pPr>
              <w:spacing w:line="300" w:lineRule="exac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①未净制者，不得分；③饮片散落到台面上未拣回者，扣1分；④散落到地面上者，扣1-2分。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预热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5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预热操作规范。打开煤气罐阀门、燃气灶开关，控制火焰大小在饮片炮制时所需火力范围内。操作要熟练，姿势要大方得体，点火后不得因操作者原因导致火焰中途熄灭。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预测锅温方法得当，有适当的火力判断方法。</w:t>
            </w:r>
          </w:p>
          <w:p>
            <w:pPr>
              <w:spacing w:line="300" w:lineRule="exac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①不预热，或违反操作规程造成事故者，不得分；②火焰大小明显不符合规定者，扣1分；③中途熄火者，扣1分；④投药前，未用合适的判断方法预测锅温者，扣1分。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投药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5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生药及辅料投放操作规范。锅温适宜后，应迅速投入药物。投入辅料要快速，并摊撒均匀。手法要得当。</w:t>
            </w:r>
          </w:p>
          <w:p>
            <w:pPr>
              <w:spacing w:line="300" w:lineRule="exac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①投药操作严重失误者，不得分。②投药操作明显缓慢者，扣1分；③投药时操作手法有误者，扣1分；④投药效果欠佳者，扣1分；⑤麸炒时，麸皮摊撒不匀者，扣1分；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翻炒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10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翻炒操作要规范。动作娴熟、翻炒均匀，姿势要大方得体，饮片不得翻出锅外。</w:t>
            </w:r>
          </w:p>
          <w:p>
            <w:pPr>
              <w:spacing w:line="300" w:lineRule="exac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①操作严重失误者，不得分；②中途熄火者，扣1分；③翻炒明显不熟练、不均匀者，扣1分；④翻炒时，饮片散落到台面上未拣回者，扣1分；⑤翻炒时，饮片散落到地面上者，扣1-2分。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出锅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5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出锅前，应先熄火。出锅要迅速、及时，药物、药屑及辅料处置操作要规范。炮制后的饮片应存放于规定的容器内。</w:t>
            </w:r>
          </w:p>
          <w:p>
            <w:pPr>
              <w:spacing w:line="300" w:lineRule="exac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①操作严重失误者，不得分；②未先熄火就出锅者，扣1分；③出锅明显不迅速者，扣1分；④除去麸皮、碎屑操作不规范者，扣1分；⑤出锅时，饮片散落到地面上者，扣1-2分。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 xml:space="preserve">清场 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5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kern w:val="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kern w:val="0"/>
                <w:szCs w:val="21"/>
              </w:rPr>
              <w:t>操作要求：</w:t>
            </w:r>
            <w:r>
              <w:rPr>
                <w:rFonts w:hint="eastAsia" w:ascii="方正书宋简体" w:hAnsi="宋体" w:eastAsia="方正书宋简体"/>
                <w:color w:val="000000"/>
                <w:kern w:val="0"/>
                <w:szCs w:val="21"/>
              </w:rPr>
              <w:t>按规程清洁器具，清理现场。炮制后的饮片应放于规定的容器（搪瓷盘或盆）内，所用器具要清洗干净，放回到比赛前的位置上。</w:t>
            </w:r>
          </w:p>
          <w:p>
            <w:pPr>
              <w:spacing w:line="300" w:lineRule="exact"/>
              <w:jc w:val="lef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扣分细则：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①操作严重失误者，不得分；②器具未清洁者扣1分，清洁不彻底者扣0.5分；③器具未放回原始位置或摆放杂乱者，扣1分；④操作台面不整洁者，扣1分；⑤药屑及辅料未倒入垃圾桶者，扣1分。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300" w:lineRule="exact"/>
              <w:jc w:val="lef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炮制</w:t>
            </w:r>
          </w:p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程度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60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程度要求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：炮制后饮片质量应符合《中国药典》及《中药饮片质量标准通则（试行）》之规定。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根据饮片的特点，选择计算适中率的方法：不及和太过现象明显且容易挑捡者，在炮制后的饮片中选取生片和糊片，合并称重，计算适中率。对不易挑捡者，用四分法随机选取饮片量的八分之一，挑捡出适中者，计算适中率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b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color w:val="000000"/>
                <w:szCs w:val="21"/>
              </w:rPr>
              <w:t>不及或太过者，是指炮制后的饮片不符合下列规定：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炒王不留行：大多数爆开白花，类球形爆花状，质松脆，有香气。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炒莱菔子：表面微鼓起，色泽加深，质酥脆，气微香。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炒酸枣仁：表面微鼓起，色微变深，微具焦斑，略有焦香气。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炒牵牛子：表面黑褐色或黄棕色，稍鼓起，微具香气。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焦槟榔：表面焦黄色，质脆，易碎，气微。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焦山楂：表面焦褐色，内部黄褐色。有焦香气，酸味减弱。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麸炒枳壳：色泽加深，偶有焦斑，具焦麸香气。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土炒山药：</w:t>
            </w:r>
            <w:r>
              <w:rPr>
                <w:rFonts w:hint="eastAsia"/>
                <w:bCs/>
                <w:color w:val="000000"/>
                <w:szCs w:val="21"/>
              </w:rPr>
              <w:t>表面土黄色，挂有均匀的土粉。质脆。具土香气。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烫骨碎补：体膨大鼓起，表面棕褐色或焦黄色，质地酥松。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酒白芍：片面微黄色或淡棕黄色，偶见焦斑，微有酒香气。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酒当归：片面深黄色或浅棕黄色，略有焦斑，香气浓郁，并略有酒香气。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醋乳香：表面深黄色，显油亮光泽，略透明，微有醋气。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盐黄柏：表面深黄色，偶有焦斑，味极苦，微咸。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盐车前子：表面黑褐色，气微香，味微咸。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炙黄芪：外表皮淡棕黄色或淡棕褐色，略有光泽，切面皮部黄白色，木部淡黄色，略带黏性但不粘手。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蜜麻黄：表面深黄色，微有光泽，略具黏性但不粘手。</w:t>
            </w:r>
          </w:p>
          <w:p>
            <w:pPr>
              <w:spacing w:line="280" w:lineRule="exact"/>
              <w:jc w:val="left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蜜百合：表面黄色或深黄色，偶有焦斑，略带黏性但不粘手。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left"/>
              <w:rPr>
                <w:rFonts w:ascii="方正书宋简体" w:hAnsi="宋体" w:eastAsia="方正书宋简体"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280" w:lineRule="exact"/>
              <w:jc w:val="left"/>
              <w:rPr>
                <w:rFonts w:ascii="方正书宋简体" w:hAnsi="宋体"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合计</w:t>
            </w:r>
          </w:p>
        </w:tc>
        <w:tc>
          <w:tcPr>
            <w:tcW w:w="760" w:type="dxa"/>
            <w:vAlign w:val="center"/>
          </w:tcPr>
          <w:p>
            <w:pPr>
              <w:spacing w:line="440" w:lineRule="exac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100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方正书宋简体" w:hAnsi="宋体" w:eastAsia="方正书宋简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left"/>
              <w:rPr>
                <w:rFonts w:ascii="方正书宋简体" w:hAnsi="宋体" w:eastAsia="方正书宋简体"/>
                <w:color w:val="000000"/>
                <w:szCs w:val="21"/>
              </w:rPr>
            </w:pPr>
          </w:p>
        </w:tc>
        <w:tc>
          <w:tcPr>
            <w:tcW w:w="701" w:type="dxa"/>
          </w:tcPr>
          <w:p>
            <w:pPr>
              <w:spacing w:line="280" w:lineRule="exact"/>
              <w:jc w:val="left"/>
              <w:rPr>
                <w:rFonts w:ascii="方正书宋简体" w:hAnsi="宋体" w:eastAsia="方正书宋简体"/>
                <w:color w:val="000000"/>
                <w:szCs w:val="21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七、竞赛时间、地点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初赛：时间（3月9日 星期六</w:t>
      </w:r>
      <w:r>
        <w:rPr>
          <w:rFonts w:hint="eastAsia"/>
          <w:szCs w:val="21"/>
        </w:rPr>
        <w:t>10：10-10：40</w:t>
      </w:r>
      <w:r>
        <w:rPr>
          <w:rFonts w:hint="eastAsia" w:ascii="仿宋" w:hAnsi="仿宋" w:eastAsia="仿宋" w:cs="仿宋"/>
          <w:bCs/>
          <w:sz w:val="28"/>
          <w:szCs w:val="28"/>
        </w:rPr>
        <w:t>）、地点（教学楼203、204室）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决赛：时间（3月26日星期二</w:t>
      </w:r>
      <w:r>
        <w:rPr>
          <w:rFonts w:hint="eastAsia"/>
          <w:szCs w:val="21"/>
        </w:rPr>
        <w:t>14：00开始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）、地点（炮制实训室）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八、培训安排</w:t>
      </w:r>
    </w:p>
    <w:tbl>
      <w:tblPr>
        <w:tblStyle w:val="6"/>
        <w:tblW w:w="8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25"/>
        <w:gridCol w:w="1494"/>
        <w:gridCol w:w="2158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3月11日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一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炮制实训室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中药炮制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3月18日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一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炮制实训室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中药炮制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九、特色创新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1.形式创新   无创新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2.内容创新   无创新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3.评价方式创新  无创新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sz w:val="28"/>
          <w:szCs w:val="28"/>
        </w:rPr>
        <w:t>经费预算</w:t>
      </w:r>
    </w:p>
    <w:p>
      <w:pPr>
        <w:jc w:val="center"/>
        <w:rPr>
          <w:rFonts w:ascii="仿宋" w:hAnsi="仿宋" w:eastAsia="仿宋" w:cs="仿宋"/>
          <w:color w:val="0000FF"/>
          <w:sz w:val="24"/>
        </w:rPr>
      </w:pP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984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费用项目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预计费用</w:t>
            </w:r>
          </w:p>
        </w:tc>
        <w:tc>
          <w:tcPr>
            <w:tcW w:w="4962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预计费用详单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材料费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2600元</w:t>
            </w:r>
          </w:p>
        </w:tc>
        <w:tc>
          <w:tcPr>
            <w:tcW w:w="4962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中药材、资料、宣传画报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工作人员费用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1500元</w:t>
            </w:r>
          </w:p>
        </w:tc>
        <w:tc>
          <w:tcPr>
            <w:tcW w:w="4962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方案、出卷、监考、阅卷、评委、考务等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培训课时费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800元</w:t>
            </w:r>
          </w:p>
        </w:tc>
        <w:tc>
          <w:tcPr>
            <w:tcW w:w="4962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4900元</w:t>
            </w:r>
          </w:p>
        </w:tc>
        <w:tc>
          <w:tcPr>
            <w:tcW w:w="4962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color w:val="0000FF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color w:val="0000FF"/>
          <w:sz w:val="30"/>
          <w:szCs w:val="30"/>
        </w:rPr>
      </w:pPr>
    </w:p>
    <w:p>
      <w:pPr>
        <w:spacing w:line="440" w:lineRule="exact"/>
        <w:ind w:firstLine="602" w:firstLineChars="250"/>
        <w:rPr>
          <w:b/>
          <w:sz w:val="24"/>
        </w:rPr>
      </w:pPr>
      <w:r>
        <w:rPr>
          <w:rFonts w:hint="eastAsia"/>
          <w:b/>
          <w:sz w:val="24"/>
        </w:rPr>
        <w:t xml:space="preserve">附表1：          </w:t>
      </w:r>
    </w:p>
    <w:p>
      <w:pPr>
        <w:spacing w:line="560" w:lineRule="exact"/>
        <w:jc w:val="center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中药炮制品种目录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类别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中药品种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炒黄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王不留行、莱菔子、决明子、牵牛子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炒焦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川楝子、山楂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麸炒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枳壳、山药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砂烫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骨碎补、鳖甲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酒炙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白芍、当归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醋炙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香附、乳香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盐炙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黄柏、车前子、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蜜炙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黄芪、百合</w:t>
            </w:r>
          </w:p>
        </w:tc>
      </w:tr>
    </w:tbl>
    <w:p>
      <w:pPr>
        <w:rPr>
          <w:rFonts w:ascii="仿宋" w:hAnsi="仿宋" w:eastAsia="仿宋" w:cs="仿宋"/>
          <w:b/>
          <w:sz w:val="28"/>
          <w:szCs w:val="28"/>
        </w:rPr>
      </w:pPr>
    </w:p>
    <w:p/>
    <w:sectPr>
      <w:pgSz w:w="11907" w:h="16839"/>
      <w:pgMar w:top="1134" w:right="851" w:bottom="85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030F"/>
    <w:multiLevelType w:val="singleLevel"/>
    <w:tmpl w:val="4D8303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578"/>
    <w:rsid w:val="00034578"/>
    <w:rsid w:val="000524DB"/>
    <w:rsid w:val="00200529"/>
    <w:rsid w:val="0027339B"/>
    <w:rsid w:val="002919D4"/>
    <w:rsid w:val="003D503D"/>
    <w:rsid w:val="004B1CB3"/>
    <w:rsid w:val="00510275"/>
    <w:rsid w:val="005D435C"/>
    <w:rsid w:val="00752897"/>
    <w:rsid w:val="00877E5D"/>
    <w:rsid w:val="008E070E"/>
    <w:rsid w:val="009C3BE9"/>
    <w:rsid w:val="009F2AFD"/>
    <w:rsid w:val="009F44F1"/>
    <w:rsid w:val="00A13928"/>
    <w:rsid w:val="00A432E1"/>
    <w:rsid w:val="00A85C39"/>
    <w:rsid w:val="00CE0E77"/>
    <w:rsid w:val="00DF3976"/>
    <w:rsid w:val="00F359FD"/>
    <w:rsid w:val="00F370B4"/>
    <w:rsid w:val="00FF6829"/>
    <w:rsid w:val="30B0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uiPriority w:val="0"/>
  </w:style>
  <w:style w:type="character" w:customStyle="1" w:styleId="10">
    <w:name w:val="正文文本 Char1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481</Words>
  <Characters>2742</Characters>
  <Lines>22</Lines>
  <Paragraphs>6</Paragraphs>
  <TotalTime>6</TotalTime>
  <ScaleCrop>false</ScaleCrop>
  <LinksUpToDate>false</LinksUpToDate>
  <CharactersWithSpaces>3217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2018-12-20T14:01:00Z</dcterms:created>
  <dc:creator>User</dc:creator>
  <cp:lastModifiedBy>每每</cp:lastModifiedBy>
  <dcterms:modified xsi:type="dcterms:W3CDTF">2018-12-24T07:58:37Z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