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046EC">
      <w:pPr>
        <w:spacing w:line="480" w:lineRule="exact"/>
        <w:jc w:val="center"/>
        <w:rPr>
          <w:rFonts w:hint="eastAsia" w:eastAsia="黑体"/>
          <w:b/>
          <w:bCs/>
          <w:sz w:val="44"/>
          <w:szCs w:val="44"/>
        </w:rPr>
      </w:pPr>
      <w:r>
        <w:rPr>
          <w:rFonts w:eastAsia="黑体"/>
          <w:b/>
          <w:bCs/>
          <w:sz w:val="44"/>
          <w:szCs w:val="44"/>
          <w:u w:val="single"/>
        </w:rPr>
        <w:t xml:space="preserve"> </w:t>
      </w:r>
      <w:r>
        <w:rPr>
          <w:rFonts w:hint="eastAsia" w:eastAsia="黑体"/>
          <w:b/>
          <w:bCs/>
          <w:sz w:val="44"/>
          <w:szCs w:val="44"/>
          <w:u w:val="single"/>
        </w:rPr>
        <w:t>湖南</w:t>
      </w:r>
      <w:r>
        <w:rPr>
          <w:rFonts w:hint="eastAsia" w:eastAsia="黑体"/>
          <w:b/>
          <w:bCs/>
          <w:sz w:val="44"/>
          <w:szCs w:val="44"/>
          <w:u w:val="single"/>
          <w:lang w:val="en-US" w:eastAsia="zh-CN"/>
        </w:rPr>
        <w:t>食品药品职业学院</w:t>
      </w:r>
      <w:r>
        <w:rPr>
          <w:rFonts w:hint="eastAsia" w:eastAsia="黑体"/>
          <w:b/>
          <w:bCs/>
          <w:sz w:val="44"/>
          <w:szCs w:val="44"/>
          <w:u w:val="single"/>
        </w:rPr>
        <w:t xml:space="preserve"> </w:t>
      </w:r>
      <w:r>
        <w:rPr>
          <w:rFonts w:hint="eastAsia" w:eastAsia="黑体"/>
          <w:b/>
          <w:bCs/>
          <w:sz w:val="44"/>
          <w:szCs w:val="44"/>
        </w:rPr>
        <w:t>拟申报</w:t>
      </w:r>
      <w:r>
        <w:rPr>
          <w:rFonts w:hint="eastAsia" w:eastAsia="黑体"/>
          <w:b/>
          <w:bCs/>
          <w:sz w:val="44"/>
          <w:szCs w:val="44"/>
          <w:u w:val="single"/>
        </w:rPr>
        <w:t xml:space="preserve"> </w:t>
      </w:r>
      <w:r>
        <w:rPr>
          <w:rFonts w:hint="eastAsia" w:eastAsia="黑体"/>
          <w:b/>
          <w:bCs/>
          <w:sz w:val="44"/>
          <w:szCs w:val="44"/>
          <w:u w:val="single"/>
          <w:lang w:val="en-US" w:eastAsia="zh-CN"/>
        </w:rPr>
        <w:t xml:space="preserve"> 正</w:t>
      </w:r>
      <w:bookmarkStart w:id="0" w:name="_GoBack"/>
      <w:bookmarkEnd w:id="0"/>
      <w:r>
        <w:rPr>
          <w:rFonts w:hint="eastAsia" w:eastAsia="黑体"/>
          <w:b/>
          <w:bCs/>
          <w:sz w:val="44"/>
          <w:szCs w:val="44"/>
          <w:u w:val="single"/>
          <w:lang w:val="en-US" w:eastAsia="zh-CN"/>
        </w:rPr>
        <w:t xml:space="preserve">高级政工师 </w:t>
      </w:r>
      <w:r>
        <w:rPr>
          <w:rFonts w:hint="eastAsia" w:eastAsia="黑体"/>
          <w:b/>
          <w:bCs/>
          <w:sz w:val="44"/>
          <w:szCs w:val="44"/>
          <w:u w:val="single"/>
        </w:rPr>
        <w:t xml:space="preserve"> </w:t>
      </w:r>
      <w:r>
        <w:rPr>
          <w:rFonts w:hint="eastAsia" w:eastAsia="黑体"/>
          <w:b/>
          <w:bCs/>
          <w:sz w:val="44"/>
          <w:szCs w:val="44"/>
        </w:rPr>
        <w:t>公示材料</w:t>
      </w:r>
    </w:p>
    <w:p w14:paraId="38D4AD94">
      <w:pPr>
        <w:ind w:firstLine="839" w:firstLineChars="398"/>
        <w:rPr>
          <w:b/>
          <w:bCs/>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73"/>
        <w:gridCol w:w="1008"/>
        <w:gridCol w:w="350"/>
        <w:gridCol w:w="9"/>
        <w:gridCol w:w="649"/>
        <w:gridCol w:w="302"/>
        <w:gridCol w:w="706"/>
        <w:gridCol w:w="14"/>
        <w:gridCol w:w="382"/>
        <w:gridCol w:w="467"/>
        <w:gridCol w:w="145"/>
        <w:gridCol w:w="448"/>
        <w:gridCol w:w="1441"/>
        <w:gridCol w:w="1854"/>
        <w:gridCol w:w="11365"/>
      </w:tblGrid>
      <w:tr w14:paraId="752E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93" w:type="dxa"/>
            <w:gridSpan w:val="2"/>
            <w:tcBorders>
              <w:top w:val="single" w:color="auto" w:sz="4" w:space="0"/>
              <w:left w:val="single" w:color="auto" w:sz="4" w:space="0"/>
              <w:bottom w:val="single" w:color="auto" w:sz="4" w:space="0"/>
              <w:right w:val="single" w:color="auto" w:sz="4" w:space="0"/>
            </w:tcBorders>
            <w:noWrap w:val="0"/>
            <w:vAlign w:val="center"/>
          </w:tcPr>
          <w:p w14:paraId="4B9D9768">
            <w:pPr>
              <w:spacing w:line="280" w:lineRule="exact"/>
              <w:jc w:val="center"/>
              <w:rPr>
                <w:sz w:val="28"/>
              </w:rPr>
            </w:pPr>
            <w:r>
              <w:rPr>
                <w:rFonts w:hint="eastAsia"/>
                <w:sz w:val="28"/>
              </w:rPr>
              <w:t>姓</w:t>
            </w:r>
            <w:r>
              <w:rPr>
                <w:sz w:val="28"/>
              </w:rPr>
              <w:t xml:space="preserve">  </w:t>
            </w:r>
            <w:r>
              <w:rPr>
                <w:rFonts w:hint="eastAsia"/>
                <w:sz w:val="28"/>
              </w:rPr>
              <w:t>名</w:t>
            </w:r>
          </w:p>
        </w:tc>
        <w:tc>
          <w:tcPr>
            <w:tcW w:w="1358" w:type="dxa"/>
            <w:gridSpan w:val="2"/>
            <w:tcBorders>
              <w:top w:val="single" w:color="auto" w:sz="4" w:space="0"/>
              <w:left w:val="single" w:color="auto" w:sz="4" w:space="0"/>
              <w:bottom w:val="single" w:color="auto" w:sz="4" w:space="0"/>
              <w:right w:val="single" w:color="auto" w:sz="4" w:space="0"/>
            </w:tcBorders>
            <w:noWrap w:val="0"/>
            <w:vAlign w:val="center"/>
          </w:tcPr>
          <w:p w14:paraId="4D75696A">
            <w:pPr>
              <w:suppressAutoHyphens/>
              <w:jc w:val="center"/>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吴猛</w:t>
            </w:r>
          </w:p>
        </w:tc>
        <w:tc>
          <w:tcPr>
            <w:tcW w:w="960" w:type="dxa"/>
            <w:gridSpan w:val="3"/>
            <w:tcBorders>
              <w:top w:val="single" w:color="auto" w:sz="4" w:space="0"/>
              <w:left w:val="single" w:color="auto" w:sz="4" w:space="0"/>
              <w:bottom w:val="single" w:color="auto" w:sz="4" w:space="0"/>
              <w:right w:val="single" w:color="auto" w:sz="4" w:space="0"/>
            </w:tcBorders>
            <w:noWrap w:val="0"/>
            <w:vAlign w:val="center"/>
          </w:tcPr>
          <w:p w14:paraId="7499F55F">
            <w:pPr>
              <w:spacing w:line="280" w:lineRule="exact"/>
              <w:jc w:val="center"/>
              <w:rPr>
                <w:rFonts w:hint="eastAsia"/>
                <w:sz w:val="28"/>
              </w:rPr>
            </w:pPr>
            <w:r>
              <w:rPr>
                <w:rFonts w:hint="eastAsia"/>
                <w:sz w:val="28"/>
              </w:rPr>
              <w:t>性别</w:t>
            </w:r>
          </w:p>
        </w:tc>
        <w:tc>
          <w:tcPr>
            <w:tcW w:w="720" w:type="dxa"/>
            <w:gridSpan w:val="2"/>
            <w:tcBorders>
              <w:top w:val="single" w:color="auto" w:sz="4" w:space="0"/>
              <w:left w:val="single" w:color="auto" w:sz="4" w:space="0"/>
              <w:bottom w:val="single" w:color="auto" w:sz="4" w:space="0"/>
              <w:right w:val="single" w:color="auto" w:sz="4" w:space="0"/>
            </w:tcBorders>
            <w:noWrap w:val="0"/>
            <w:vAlign w:val="center"/>
          </w:tcPr>
          <w:p w14:paraId="408979F7">
            <w:pPr>
              <w:suppressAutoHyphens/>
              <w:jc w:val="center"/>
              <w:rPr>
                <w:rFonts w:hint="default" w:eastAsia="宋体"/>
                <w:sz w:val="28"/>
                <w:lang w:val="en-US" w:eastAsia="zh-CN"/>
              </w:rPr>
            </w:pPr>
            <w:r>
              <w:rPr>
                <w:rFonts w:hint="eastAsia" w:ascii="仿宋_GB2312" w:hAnsi="Times New Roman" w:eastAsia="仿宋_GB2312" w:cs="Times New Roman"/>
                <w:sz w:val="24"/>
                <w:lang w:val="en-US" w:eastAsia="zh-CN"/>
              </w:rPr>
              <w:t>男</w:t>
            </w:r>
          </w:p>
        </w:tc>
        <w:tc>
          <w:tcPr>
            <w:tcW w:w="1442" w:type="dxa"/>
            <w:gridSpan w:val="4"/>
            <w:tcBorders>
              <w:top w:val="single" w:color="auto" w:sz="4" w:space="0"/>
              <w:left w:val="single" w:color="auto" w:sz="4" w:space="0"/>
              <w:bottom w:val="single" w:color="auto" w:sz="4" w:space="0"/>
              <w:right w:val="single" w:color="auto" w:sz="4" w:space="0"/>
            </w:tcBorders>
            <w:noWrap w:val="0"/>
            <w:vAlign w:val="center"/>
          </w:tcPr>
          <w:p w14:paraId="61E0AE5E">
            <w:pPr>
              <w:spacing w:line="280" w:lineRule="exact"/>
              <w:jc w:val="center"/>
              <w:rPr>
                <w:rFonts w:hint="eastAsia"/>
                <w:sz w:val="28"/>
              </w:rPr>
            </w:pPr>
            <w:r>
              <w:rPr>
                <w:rFonts w:hint="eastAsia"/>
                <w:sz w:val="28"/>
              </w:rPr>
              <w:t>出生年月</w:t>
            </w:r>
          </w:p>
        </w:tc>
        <w:tc>
          <w:tcPr>
            <w:tcW w:w="1441" w:type="dxa"/>
            <w:tcBorders>
              <w:top w:val="single" w:color="auto" w:sz="4" w:space="0"/>
              <w:left w:val="single" w:color="auto" w:sz="4" w:space="0"/>
              <w:bottom w:val="single" w:color="auto" w:sz="4" w:space="0"/>
              <w:right w:val="single" w:color="auto" w:sz="4" w:space="0"/>
            </w:tcBorders>
            <w:noWrap w:val="0"/>
            <w:vAlign w:val="center"/>
          </w:tcPr>
          <w:p w14:paraId="7C784137">
            <w:pPr>
              <w:spacing w:line="280" w:lineRule="exact"/>
              <w:jc w:val="center"/>
              <w:rPr>
                <w:rFonts w:hint="eastAsia"/>
                <w:sz w:val="28"/>
              </w:rPr>
            </w:pPr>
            <w:r>
              <w:rPr>
                <w:rFonts w:hint="eastAsia" w:ascii="仿宋_GB2312" w:eastAsia="仿宋_GB2312"/>
                <w:sz w:val="24"/>
                <w:lang w:val="en-US" w:eastAsia="zh-CN"/>
              </w:rPr>
              <w:t>1</w:t>
            </w:r>
            <w:r>
              <w:rPr>
                <w:rFonts w:hint="eastAsia" w:ascii="仿宋_GB2312" w:hAnsi="Times New Roman" w:eastAsia="仿宋_GB2312" w:cs="Times New Roman"/>
                <w:sz w:val="24"/>
                <w:lang w:val="en-US" w:eastAsia="zh-CN"/>
              </w:rPr>
              <w:t>973年9月</w:t>
            </w:r>
          </w:p>
        </w:tc>
        <w:tc>
          <w:tcPr>
            <w:tcW w:w="1854" w:type="dxa"/>
            <w:vMerge w:val="restart"/>
            <w:tcBorders>
              <w:top w:val="single" w:color="auto" w:sz="4" w:space="0"/>
              <w:left w:val="single" w:color="auto" w:sz="4" w:space="0"/>
              <w:right w:val="single" w:color="auto" w:sz="4" w:space="0"/>
            </w:tcBorders>
            <w:noWrap w:val="0"/>
            <w:vAlign w:val="center"/>
          </w:tcPr>
          <w:p w14:paraId="550C72FF">
            <w:pPr>
              <w:spacing w:line="280" w:lineRule="exact"/>
              <w:jc w:val="center"/>
              <w:rPr>
                <w:rFonts w:hint="eastAsia"/>
                <w:sz w:val="28"/>
              </w:rPr>
            </w:pPr>
            <w:r>
              <w:rPr>
                <w:rFonts w:hint="eastAsia"/>
                <w:sz w:val="28"/>
              </w:rPr>
              <w:t>工作业绩</w:t>
            </w:r>
          </w:p>
        </w:tc>
        <w:tc>
          <w:tcPr>
            <w:tcW w:w="11365" w:type="dxa"/>
            <w:vMerge w:val="restart"/>
            <w:tcBorders>
              <w:top w:val="single" w:color="auto" w:sz="4" w:space="0"/>
              <w:left w:val="single" w:color="auto" w:sz="4" w:space="0"/>
              <w:right w:val="single" w:color="auto" w:sz="4" w:space="0"/>
            </w:tcBorders>
            <w:noWrap w:val="0"/>
            <w:vAlign w:val="center"/>
          </w:tcPr>
          <w:p w14:paraId="5592B089">
            <w:pPr>
              <w:rPr>
                <w:rFonts w:hint="eastAsia"/>
              </w:rPr>
            </w:pPr>
            <w:r>
              <w:rPr>
                <w:rFonts w:hint="eastAsia"/>
              </w:rPr>
              <w:t>2013.01</w:t>
            </w:r>
            <w:r>
              <w:rPr>
                <w:rFonts w:hint="eastAsia"/>
                <w:lang w:eastAsia="zh-CN"/>
              </w:rPr>
              <w:t>，</w:t>
            </w:r>
            <w:r>
              <w:rPr>
                <w:rFonts w:hint="eastAsia"/>
              </w:rPr>
              <w:t>2012年湖南省普通高等学校辅导员工作研究与实践先进单位</w:t>
            </w:r>
            <w:r>
              <w:rPr>
                <w:rFonts w:hint="eastAsia"/>
                <w:lang w:eastAsia="zh-CN"/>
              </w:rPr>
              <w:t>，</w:t>
            </w:r>
            <w:r>
              <w:rPr>
                <w:rFonts w:hint="eastAsia"/>
              </w:rPr>
              <w:t>湖南省高校学生思想政治教育研究会</w:t>
            </w:r>
          </w:p>
          <w:p w14:paraId="3C8BA102">
            <w:pPr>
              <w:rPr>
                <w:rFonts w:hint="eastAsia"/>
              </w:rPr>
            </w:pPr>
            <w:r>
              <w:rPr>
                <w:rFonts w:hint="eastAsia"/>
              </w:rPr>
              <w:t>2014.12</w:t>
            </w:r>
            <w:r>
              <w:rPr>
                <w:rFonts w:hint="eastAsia"/>
                <w:lang w:eastAsia="zh-CN"/>
              </w:rPr>
              <w:t>，</w:t>
            </w:r>
            <w:r>
              <w:rPr>
                <w:rFonts w:hint="eastAsia"/>
              </w:rPr>
              <w:t>2014年湖南省高等学校学生思想政治教育研究与实践先进单位</w:t>
            </w:r>
            <w:r>
              <w:rPr>
                <w:rFonts w:hint="eastAsia"/>
                <w:lang w:eastAsia="zh-CN"/>
              </w:rPr>
              <w:t>，</w:t>
            </w:r>
            <w:r>
              <w:rPr>
                <w:rFonts w:hint="eastAsia"/>
              </w:rPr>
              <w:t>湖南省高校学生思想政治教育研究会</w:t>
            </w:r>
          </w:p>
          <w:p w14:paraId="66409A77">
            <w:pPr>
              <w:rPr>
                <w:rFonts w:hint="eastAsia"/>
              </w:rPr>
            </w:pPr>
            <w:r>
              <w:rPr>
                <w:rFonts w:hint="eastAsia"/>
              </w:rPr>
              <w:t>2015.04</w:t>
            </w:r>
            <w:r>
              <w:rPr>
                <w:rFonts w:hint="eastAsia"/>
                <w:lang w:eastAsia="zh-CN"/>
              </w:rPr>
              <w:t>，</w:t>
            </w:r>
            <w:r>
              <w:rPr>
                <w:rFonts w:hint="eastAsia"/>
              </w:rPr>
              <w:t>湖南省第四届高校辅导员职业技能竞赛决赛团体和个人双料冠军</w:t>
            </w:r>
            <w:r>
              <w:rPr>
                <w:rFonts w:hint="eastAsia"/>
                <w:lang w:eastAsia="zh-CN"/>
              </w:rPr>
              <w:t>，</w:t>
            </w:r>
            <w:r>
              <w:rPr>
                <w:rFonts w:hint="eastAsia"/>
              </w:rPr>
              <w:t>中共湖南省委教育工委、湖南省教育厅</w:t>
            </w:r>
          </w:p>
          <w:p w14:paraId="062449E1">
            <w:pPr>
              <w:rPr>
                <w:rFonts w:hint="eastAsia"/>
              </w:rPr>
            </w:pPr>
            <w:r>
              <w:rPr>
                <w:rFonts w:hint="eastAsia"/>
              </w:rPr>
              <w:t>2015.05</w:t>
            </w:r>
            <w:r>
              <w:rPr>
                <w:rFonts w:hint="eastAsia"/>
                <w:lang w:eastAsia="zh-CN"/>
              </w:rPr>
              <w:t>，</w:t>
            </w:r>
            <w:r>
              <w:rPr>
                <w:rFonts w:hint="eastAsia"/>
              </w:rPr>
              <w:t>湖南省普通高等学校校园文化建设优秀成果三等奖</w:t>
            </w:r>
            <w:r>
              <w:rPr>
                <w:rFonts w:hint="eastAsia"/>
                <w:lang w:eastAsia="zh-CN"/>
              </w:rPr>
              <w:t>，</w:t>
            </w:r>
            <w:r>
              <w:rPr>
                <w:rFonts w:hint="eastAsia"/>
              </w:rPr>
              <w:t>中共湖南省委教育工委</w:t>
            </w:r>
            <w:r>
              <w:rPr>
                <w:rFonts w:hint="eastAsia"/>
              </w:rPr>
              <w:tab/>
            </w:r>
          </w:p>
          <w:p w14:paraId="30F238E0">
            <w:pPr>
              <w:rPr>
                <w:rFonts w:hint="eastAsia"/>
              </w:rPr>
            </w:pPr>
            <w:r>
              <w:rPr>
                <w:rFonts w:hint="eastAsia"/>
              </w:rPr>
              <w:t>2015.09</w:t>
            </w:r>
            <w:r>
              <w:rPr>
                <w:rFonts w:hint="eastAsia"/>
                <w:lang w:eastAsia="zh-CN"/>
              </w:rPr>
              <w:t>，</w:t>
            </w:r>
            <w:r>
              <w:rPr>
                <w:rFonts w:hint="eastAsia"/>
              </w:rPr>
              <w:t>湖南省首届“互联网 ”大学生创新创业大赛优秀组织奖</w:t>
            </w:r>
            <w:r>
              <w:rPr>
                <w:rFonts w:hint="eastAsia"/>
                <w:lang w:eastAsia="zh-CN"/>
              </w:rPr>
              <w:t>，</w:t>
            </w:r>
            <w:r>
              <w:rPr>
                <w:rFonts w:hint="eastAsia"/>
              </w:rPr>
              <w:t>湖南省教育厅</w:t>
            </w:r>
            <w:r>
              <w:rPr>
                <w:rFonts w:hint="eastAsia"/>
              </w:rPr>
              <w:tab/>
            </w:r>
          </w:p>
          <w:p w14:paraId="2E00C77F">
            <w:pPr>
              <w:rPr>
                <w:rFonts w:hint="eastAsia"/>
              </w:rPr>
            </w:pPr>
            <w:r>
              <w:rPr>
                <w:rFonts w:hint="eastAsia"/>
              </w:rPr>
              <w:t>2015.10</w:t>
            </w:r>
            <w:r>
              <w:rPr>
                <w:rFonts w:hint="eastAsia"/>
                <w:lang w:eastAsia="zh-CN"/>
              </w:rPr>
              <w:t>，</w:t>
            </w:r>
            <w:r>
              <w:rPr>
                <w:rFonts w:hint="eastAsia"/>
              </w:rPr>
              <w:t>湖南省高校志愿服务先进典型“最佳志愿服务项目”“最佳志愿服务组织”</w:t>
            </w:r>
            <w:r>
              <w:rPr>
                <w:rFonts w:hint="eastAsia"/>
                <w:lang w:eastAsia="zh-CN"/>
              </w:rPr>
              <w:t>，</w:t>
            </w:r>
            <w:r>
              <w:rPr>
                <w:rFonts w:hint="eastAsia"/>
              </w:rPr>
              <w:t>中共湖南省委教育工委文明办</w:t>
            </w:r>
            <w:r>
              <w:rPr>
                <w:rFonts w:hint="eastAsia"/>
              </w:rPr>
              <w:tab/>
            </w:r>
          </w:p>
          <w:p w14:paraId="06D53DD6">
            <w:pPr>
              <w:rPr>
                <w:rFonts w:hint="eastAsia"/>
              </w:rPr>
            </w:pPr>
            <w:r>
              <w:rPr>
                <w:rFonts w:hint="eastAsia"/>
              </w:rPr>
              <w:t>2015.12</w:t>
            </w:r>
            <w:r>
              <w:rPr>
                <w:rFonts w:hint="eastAsia"/>
                <w:lang w:eastAsia="zh-CN"/>
              </w:rPr>
              <w:t>，</w:t>
            </w:r>
            <w:r>
              <w:rPr>
                <w:rFonts w:hint="eastAsia"/>
              </w:rPr>
              <w:t>湖南省大学生思想政治理论课实践教学成果展示活动优秀组织奖</w:t>
            </w:r>
            <w:r>
              <w:rPr>
                <w:rFonts w:hint="eastAsia"/>
                <w:lang w:eastAsia="zh-CN"/>
              </w:rPr>
              <w:t>，</w:t>
            </w:r>
            <w:r>
              <w:rPr>
                <w:rFonts w:hint="eastAsia"/>
              </w:rPr>
              <w:t>湖南省教育厅2016.05</w:t>
            </w:r>
            <w:r>
              <w:rPr>
                <w:rFonts w:hint="eastAsia"/>
                <w:lang w:eastAsia="zh-CN"/>
              </w:rPr>
              <w:t>，</w:t>
            </w:r>
            <w:r>
              <w:rPr>
                <w:rFonts w:hint="eastAsia"/>
              </w:rPr>
              <w:t>湖南省第五届辅导员职业能力大赛决赛团队冠军</w:t>
            </w:r>
            <w:r>
              <w:rPr>
                <w:rFonts w:hint="eastAsia"/>
                <w:lang w:eastAsia="zh-CN"/>
              </w:rPr>
              <w:t>，</w:t>
            </w:r>
            <w:r>
              <w:rPr>
                <w:rFonts w:hint="eastAsia"/>
              </w:rPr>
              <w:t>中共湖南省委教育工委、湖南省教育厅</w:t>
            </w:r>
            <w:r>
              <w:rPr>
                <w:rFonts w:hint="eastAsia"/>
              </w:rPr>
              <w:tab/>
            </w:r>
          </w:p>
          <w:p w14:paraId="2DAC23AB">
            <w:pPr>
              <w:rPr>
                <w:rFonts w:hint="eastAsia"/>
              </w:rPr>
            </w:pPr>
            <w:r>
              <w:rPr>
                <w:rFonts w:hint="eastAsia"/>
              </w:rPr>
              <w:t>2016.04</w:t>
            </w:r>
            <w:r>
              <w:rPr>
                <w:rFonts w:hint="eastAsia"/>
                <w:lang w:eastAsia="zh-CN"/>
              </w:rPr>
              <w:t>，</w:t>
            </w:r>
            <w:r>
              <w:rPr>
                <w:rFonts w:hint="eastAsia"/>
                <w:lang w:val="en-US" w:eastAsia="zh-CN"/>
              </w:rPr>
              <w:t>2015年</w:t>
            </w:r>
            <w:r>
              <w:rPr>
                <w:rFonts w:hint="eastAsia"/>
              </w:rPr>
              <w:t>湖南省高校辅导员工作研究与实践先进单位</w:t>
            </w:r>
            <w:r>
              <w:rPr>
                <w:rFonts w:hint="eastAsia"/>
                <w:lang w:eastAsia="zh-CN"/>
              </w:rPr>
              <w:t>，</w:t>
            </w:r>
            <w:r>
              <w:rPr>
                <w:rFonts w:hint="eastAsia"/>
              </w:rPr>
              <w:t>湖南省高等学校思想政治教育研究会、辅导员工作研究会</w:t>
            </w:r>
          </w:p>
          <w:p w14:paraId="425612C0">
            <w:pPr>
              <w:rPr>
                <w:rFonts w:hint="eastAsia"/>
              </w:rPr>
            </w:pPr>
            <w:r>
              <w:rPr>
                <w:rFonts w:hint="eastAsia"/>
              </w:rPr>
              <w:t>2016.05</w:t>
            </w:r>
            <w:r>
              <w:rPr>
                <w:rFonts w:hint="eastAsia"/>
                <w:lang w:eastAsia="zh-CN"/>
              </w:rPr>
              <w:t>，</w:t>
            </w:r>
            <w:r>
              <w:rPr>
                <w:rFonts w:hint="eastAsia"/>
              </w:rPr>
              <w:t>获湖南省首届青.志愿服务项目大赛银奖</w:t>
            </w:r>
            <w:r>
              <w:rPr>
                <w:rFonts w:hint="eastAsia"/>
              </w:rPr>
              <w:tab/>
            </w:r>
            <w:r>
              <w:rPr>
                <w:rFonts w:hint="eastAsia"/>
              </w:rPr>
              <w:t>共青团湖南省委</w:t>
            </w:r>
            <w:r>
              <w:rPr>
                <w:rFonts w:hint="eastAsia"/>
              </w:rPr>
              <w:tab/>
            </w:r>
          </w:p>
          <w:p w14:paraId="10049C33">
            <w:pPr>
              <w:rPr>
                <w:rFonts w:hint="eastAsia"/>
              </w:rPr>
            </w:pPr>
            <w:r>
              <w:rPr>
                <w:rFonts w:hint="eastAsia"/>
              </w:rPr>
              <w:t>2016.12</w:t>
            </w:r>
            <w:r>
              <w:rPr>
                <w:rFonts w:hint="eastAsia"/>
                <w:lang w:eastAsia="zh-CN"/>
              </w:rPr>
              <w:t>，</w:t>
            </w:r>
            <w:r>
              <w:rPr>
                <w:rFonts w:hint="eastAsia"/>
              </w:rPr>
              <w:t>湖南省普通高等学校校园文化建设优秀成果一等奖</w:t>
            </w:r>
            <w:r>
              <w:rPr>
                <w:rFonts w:hint="eastAsia"/>
                <w:lang w:eastAsia="zh-CN"/>
              </w:rPr>
              <w:t>，</w:t>
            </w:r>
            <w:r>
              <w:rPr>
                <w:rFonts w:hint="eastAsia"/>
              </w:rPr>
              <w:t>中共湖南省委教育工作委员会</w:t>
            </w:r>
            <w:r>
              <w:rPr>
                <w:rFonts w:hint="eastAsia"/>
              </w:rPr>
              <w:tab/>
            </w:r>
          </w:p>
          <w:p w14:paraId="6F4AE4DA">
            <w:pPr>
              <w:rPr>
                <w:rFonts w:hint="eastAsia"/>
              </w:rPr>
            </w:pPr>
            <w:r>
              <w:rPr>
                <w:rFonts w:hint="eastAsia"/>
              </w:rPr>
              <w:t>2017.06</w:t>
            </w:r>
            <w:r>
              <w:rPr>
                <w:rFonts w:hint="eastAsia"/>
                <w:lang w:eastAsia="zh-CN"/>
              </w:rPr>
              <w:t>，</w:t>
            </w:r>
            <w:r>
              <w:rPr>
                <w:rFonts w:hint="eastAsia"/>
              </w:rPr>
              <w:t>全省百佳学生资助工作单位典型</w:t>
            </w:r>
            <w:r>
              <w:rPr>
                <w:rFonts w:hint="eastAsia"/>
                <w:lang w:eastAsia="zh-CN"/>
              </w:rPr>
              <w:t>，</w:t>
            </w:r>
            <w:r>
              <w:rPr>
                <w:rFonts w:hint="eastAsia"/>
              </w:rPr>
              <w:t>湖南省学生资助管理中心</w:t>
            </w:r>
            <w:r>
              <w:rPr>
                <w:rFonts w:hint="eastAsia"/>
              </w:rPr>
              <w:tab/>
            </w:r>
          </w:p>
          <w:p w14:paraId="3A17982A">
            <w:pPr>
              <w:rPr>
                <w:rFonts w:hint="eastAsia"/>
              </w:rPr>
            </w:pPr>
            <w:r>
              <w:rPr>
                <w:rFonts w:hint="eastAsia"/>
              </w:rPr>
              <w:t>2017.11</w:t>
            </w:r>
            <w:r>
              <w:rPr>
                <w:rFonts w:hint="eastAsia"/>
                <w:lang w:eastAsia="zh-CN"/>
              </w:rPr>
              <w:t>，</w:t>
            </w:r>
            <w:r>
              <w:rPr>
                <w:rFonts w:hint="eastAsia"/>
              </w:rPr>
              <w:t>2016-2017.度湖南省高校心理健康教育先进单位</w:t>
            </w:r>
            <w:r>
              <w:rPr>
                <w:rFonts w:hint="eastAsia"/>
                <w:lang w:eastAsia="zh-CN"/>
              </w:rPr>
              <w:t>，</w:t>
            </w:r>
            <w:r>
              <w:rPr>
                <w:rFonts w:hint="eastAsia"/>
              </w:rPr>
              <w:t>湖南省心理卫生协会大学生心理咨询专业委员会</w:t>
            </w:r>
            <w:r>
              <w:rPr>
                <w:rFonts w:hint="eastAsia"/>
              </w:rPr>
              <w:tab/>
            </w:r>
          </w:p>
          <w:p w14:paraId="28925B33">
            <w:pPr>
              <w:rPr>
                <w:rFonts w:hint="eastAsia"/>
              </w:rPr>
            </w:pPr>
            <w:r>
              <w:rPr>
                <w:rFonts w:hint="eastAsia"/>
              </w:rPr>
              <w:t>2019.06</w:t>
            </w:r>
            <w:r>
              <w:rPr>
                <w:rFonts w:hint="eastAsia"/>
                <w:lang w:eastAsia="zh-CN"/>
              </w:rPr>
              <w:t>，</w:t>
            </w:r>
            <w:r>
              <w:rPr>
                <w:rFonts w:hint="eastAsia"/>
              </w:rPr>
              <w:t>湖南省首批“三全育人”综合改革试点高校</w:t>
            </w:r>
            <w:r>
              <w:rPr>
                <w:rFonts w:hint="eastAsia"/>
                <w:lang w:eastAsia="zh-CN"/>
              </w:rPr>
              <w:t>，</w:t>
            </w:r>
            <w:r>
              <w:rPr>
                <w:rFonts w:hint="eastAsia"/>
              </w:rPr>
              <w:t>中共湖南省委教育工作委员会   湖南省教育厅</w:t>
            </w:r>
            <w:r>
              <w:rPr>
                <w:rFonts w:hint="eastAsia"/>
              </w:rPr>
              <w:tab/>
            </w:r>
          </w:p>
          <w:p w14:paraId="29376A2F">
            <w:pPr>
              <w:rPr>
                <w:rFonts w:hint="eastAsia"/>
              </w:rPr>
            </w:pPr>
            <w:r>
              <w:rPr>
                <w:rFonts w:hint="eastAsia"/>
              </w:rPr>
              <w:t>2020</w:t>
            </w:r>
            <w:r>
              <w:rPr>
                <w:rFonts w:hint="eastAsia"/>
                <w:lang w:eastAsia="zh-CN"/>
              </w:rPr>
              <w:t>—</w:t>
            </w:r>
            <w:r>
              <w:rPr>
                <w:rFonts w:hint="eastAsia"/>
                <w:lang w:val="en-US" w:eastAsia="zh-CN"/>
              </w:rPr>
              <w:t>2023年，</w:t>
            </w:r>
            <w:r>
              <w:rPr>
                <w:rFonts w:hint="eastAsia"/>
              </w:rPr>
              <w:t>长沙民政职业技术学院官微荣获2020.度全国高职高专官微“全国百强”</w:t>
            </w:r>
            <w:r>
              <w:rPr>
                <w:rFonts w:hint="eastAsia"/>
                <w:lang w:eastAsia="zh-CN"/>
              </w:rPr>
              <w:t>，</w:t>
            </w:r>
            <w:r>
              <w:rPr>
                <w:rFonts w:hint="eastAsia"/>
              </w:rPr>
              <w:t>中国青年报社</w:t>
            </w:r>
            <w:r>
              <w:rPr>
                <w:rFonts w:hint="eastAsia"/>
              </w:rPr>
              <w:tab/>
            </w:r>
          </w:p>
          <w:p w14:paraId="3912D2A4">
            <w:pPr>
              <w:rPr>
                <w:sz w:val="28"/>
                <w:szCs w:val="28"/>
              </w:rPr>
            </w:pPr>
            <w:r>
              <w:rPr>
                <w:rFonts w:hint="eastAsia"/>
              </w:rPr>
              <w:t>2023.07</w:t>
            </w:r>
            <w:r>
              <w:rPr>
                <w:rFonts w:hint="eastAsia"/>
                <w:lang w:eastAsia="zh-CN"/>
              </w:rPr>
              <w:t>，</w:t>
            </w:r>
            <w:r>
              <w:rPr>
                <w:rFonts w:hint="eastAsia"/>
              </w:rPr>
              <w:t>获评湖南省铸牢中华民族共同体意识教育示范校</w:t>
            </w:r>
            <w:r>
              <w:rPr>
                <w:rFonts w:hint="eastAsia"/>
                <w:lang w:eastAsia="zh-CN"/>
              </w:rPr>
              <w:t>，</w:t>
            </w:r>
            <w:r>
              <w:rPr>
                <w:rFonts w:hint="eastAsia"/>
              </w:rPr>
              <w:t>湖南省教育厅</w:t>
            </w:r>
            <w:r>
              <w:rPr>
                <w:rFonts w:hint="eastAsia"/>
              </w:rPr>
              <w:tab/>
            </w:r>
          </w:p>
        </w:tc>
      </w:tr>
      <w:tr w14:paraId="0FC4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93" w:type="dxa"/>
            <w:gridSpan w:val="2"/>
            <w:tcBorders>
              <w:top w:val="single" w:color="auto" w:sz="4" w:space="0"/>
              <w:left w:val="single" w:color="auto" w:sz="4" w:space="0"/>
              <w:bottom w:val="single" w:color="auto" w:sz="4" w:space="0"/>
              <w:right w:val="single" w:color="auto" w:sz="4" w:space="0"/>
            </w:tcBorders>
            <w:noWrap w:val="0"/>
            <w:vAlign w:val="center"/>
          </w:tcPr>
          <w:p w14:paraId="78C487B5">
            <w:pPr>
              <w:spacing w:line="280" w:lineRule="exact"/>
              <w:jc w:val="center"/>
              <w:rPr>
                <w:sz w:val="28"/>
              </w:rPr>
            </w:pPr>
            <w:r>
              <w:rPr>
                <w:rFonts w:hint="eastAsia"/>
                <w:sz w:val="28"/>
              </w:rPr>
              <w:t>所学专业</w:t>
            </w:r>
          </w:p>
        </w:tc>
        <w:tc>
          <w:tcPr>
            <w:tcW w:w="1358" w:type="dxa"/>
            <w:gridSpan w:val="2"/>
            <w:tcBorders>
              <w:top w:val="single" w:color="auto" w:sz="4" w:space="0"/>
              <w:left w:val="single" w:color="auto" w:sz="4" w:space="0"/>
              <w:bottom w:val="single" w:color="auto" w:sz="4" w:space="0"/>
              <w:right w:val="single" w:color="auto" w:sz="4" w:space="0"/>
            </w:tcBorders>
            <w:noWrap w:val="0"/>
            <w:vAlign w:val="center"/>
          </w:tcPr>
          <w:p w14:paraId="5325AEDD">
            <w:pPr>
              <w:suppressAutoHyphens/>
              <w:jc w:val="center"/>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法律</w:t>
            </w:r>
          </w:p>
        </w:tc>
        <w:tc>
          <w:tcPr>
            <w:tcW w:w="2062" w:type="dxa"/>
            <w:gridSpan w:val="6"/>
            <w:tcBorders>
              <w:top w:val="single" w:color="auto" w:sz="4" w:space="0"/>
              <w:left w:val="single" w:color="auto" w:sz="4" w:space="0"/>
              <w:bottom w:val="single" w:color="auto" w:sz="4" w:space="0"/>
              <w:right w:val="single" w:color="auto" w:sz="4" w:space="0"/>
            </w:tcBorders>
            <w:noWrap w:val="0"/>
            <w:vAlign w:val="center"/>
          </w:tcPr>
          <w:p w14:paraId="793359CC">
            <w:pPr>
              <w:spacing w:line="280" w:lineRule="exact"/>
              <w:jc w:val="center"/>
              <w:rPr>
                <w:sz w:val="28"/>
              </w:rPr>
            </w:pPr>
            <w:r>
              <w:rPr>
                <w:rFonts w:hint="eastAsia"/>
                <w:sz w:val="28"/>
              </w:rPr>
              <w:t>现从事专业</w:t>
            </w:r>
          </w:p>
        </w:tc>
        <w:tc>
          <w:tcPr>
            <w:tcW w:w="2501" w:type="dxa"/>
            <w:gridSpan w:val="4"/>
            <w:tcBorders>
              <w:top w:val="single" w:color="auto" w:sz="4" w:space="0"/>
              <w:left w:val="single" w:color="auto" w:sz="4" w:space="0"/>
              <w:bottom w:val="single" w:color="auto" w:sz="4" w:space="0"/>
              <w:right w:val="single" w:color="auto" w:sz="4" w:space="0"/>
            </w:tcBorders>
            <w:noWrap w:val="0"/>
            <w:vAlign w:val="center"/>
          </w:tcPr>
          <w:p w14:paraId="2B494D82">
            <w:pPr>
              <w:spacing w:line="280" w:lineRule="exact"/>
              <w:jc w:val="center"/>
              <w:rPr>
                <w:rFonts w:hint="default" w:eastAsia="宋体"/>
                <w:sz w:val="28"/>
                <w:lang w:val="en-US" w:eastAsia="zh-CN"/>
              </w:rPr>
            </w:pPr>
            <w:r>
              <w:rPr>
                <w:rFonts w:hint="eastAsia" w:ascii="仿宋_GB2312" w:hAnsi="Times New Roman" w:eastAsia="仿宋_GB2312" w:cs="Times New Roman"/>
                <w:sz w:val="24"/>
                <w:lang w:val="en-US" w:eastAsia="zh-CN"/>
              </w:rPr>
              <w:t>思想政治教育</w:t>
            </w:r>
          </w:p>
        </w:tc>
        <w:tc>
          <w:tcPr>
            <w:tcW w:w="1854" w:type="dxa"/>
            <w:vMerge w:val="continue"/>
            <w:tcBorders>
              <w:left w:val="single" w:color="auto" w:sz="4" w:space="0"/>
              <w:right w:val="single" w:color="auto" w:sz="4" w:space="0"/>
            </w:tcBorders>
            <w:noWrap w:val="0"/>
            <w:vAlign w:val="bottom"/>
          </w:tcPr>
          <w:p w14:paraId="78481D32">
            <w:pPr>
              <w:spacing w:line="280" w:lineRule="exact"/>
              <w:ind w:left="180"/>
              <w:jc w:val="center"/>
              <w:rPr>
                <w:sz w:val="28"/>
              </w:rPr>
            </w:pPr>
          </w:p>
        </w:tc>
        <w:tc>
          <w:tcPr>
            <w:tcW w:w="11365" w:type="dxa"/>
            <w:vMerge w:val="continue"/>
            <w:tcBorders>
              <w:left w:val="single" w:color="auto" w:sz="4" w:space="0"/>
              <w:right w:val="single" w:color="auto" w:sz="4" w:space="0"/>
            </w:tcBorders>
            <w:noWrap w:val="0"/>
            <w:vAlign w:val="top"/>
          </w:tcPr>
          <w:p w14:paraId="47F06208">
            <w:pPr>
              <w:spacing w:line="280" w:lineRule="exact"/>
              <w:ind w:left="180"/>
              <w:rPr>
                <w:sz w:val="28"/>
              </w:rPr>
            </w:pPr>
          </w:p>
        </w:tc>
      </w:tr>
      <w:tr w14:paraId="7A37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93" w:type="dxa"/>
            <w:gridSpan w:val="2"/>
            <w:tcBorders>
              <w:top w:val="single" w:color="auto" w:sz="4" w:space="0"/>
              <w:left w:val="single" w:color="auto" w:sz="4" w:space="0"/>
              <w:bottom w:val="single" w:color="auto" w:sz="4" w:space="0"/>
              <w:right w:val="single" w:color="auto" w:sz="4" w:space="0"/>
            </w:tcBorders>
            <w:noWrap w:val="0"/>
            <w:vAlign w:val="center"/>
          </w:tcPr>
          <w:p w14:paraId="078E0BF0">
            <w:pPr>
              <w:spacing w:line="280" w:lineRule="exact"/>
              <w:jc w:val="center"/>
              <w:rPr>
                <w:sz w:val="28"/>
              </w:rPr>
            </w:pPr>
            <w:r>
              <w:rPr>
                <w:rFonts w:hint="eastAsia"/>
                <w:sz w:val="28"/>
              </w:rPr>
              <w:t>外语成绩</w:t>
            </w:r>
          </w:p>
        </w:tc>
        <w:tc>
          <w:tcPr>
            <w:tcW w:w="1358" w:type="dxa"/>
            <w:gridSpan w:val="2"/>
            <w:tcBorders>
              <w:top w:val="single" w:color="auto" w:sz="4" w:space="0"/>
              <w:left w:val="single" w:color="auto" w:sz="4" w:space="0"/>
              <w:bottom w:val="single" w:color="auto" w:sz="4" w:space="0"/>
              <w:right w:val="single" w:color="auto" w:sz="4" w:space="0"/>
            </w:tcBorders>
            <w:noWrap w:val="0"/>
            <w:vAlign w:val="center"/>
          </w:tcPr>
          <w:p w14:paraId="3892FA63">
            <w:pPr>
              <w:suppressAutoHyphens/>
              <w:jc w:val="center"/>
              <w:rPr>
                <w:rFonts w:hint="eastAsia" w:ascii="仿宋_GB2312" w:eastAsia="仿宋_GB2312"/>
                <w:sz w:val="24"/>
                <w:lang w:val="en-US" w:eastAsia="zh-CN"/>
              </w:rPr>
            </w:pPr>
            <w:r>
              <w:rPr>
                <w:rFonts w:hint="eastAsia" w:ascii="仿宋_GB2312" w:eastAsia="仿宋_GB2312"/>
                <w:sz w:val="24"/>
                <w:lang w:val="en-US" w:eastAsia="zh-CN"/>
              </w:rPr>
              <w:t>全国职称外语等级考试</w:t>
            </w:r>
          </w:p>
          <w:p w14:paraId="4D22CF34">
            <w:pPr>
              <w:spacing w:line="280" w:lineRule="exact"/>
              <w:jc w:val="center"/>
              <w:rPr>
                <w:sz w:val="28"/>
              </w:rPr>
            </w:pPr>
            <w:r>
              <w:rPr>
                <w:rFonts w:hint="eastAsia" w:ascii="仿宋_GB2312" w:eastAsia="仿宋_GB2312"/>
                <w:sz w:val="24"/>
                <w:lang w:val="en-US" w:eastAsia="zh-CN"/>
              </w:rPr>
              <w:t>合格</w:t>
            </w:r>
          </w:p>
        </w:tc>
        <w:tc>
          <w:tcPr>
            <w:tcW w:w="2062" w:type="dxa"/>
            <w:gridSpan w:val="6"/>
            <w:tcBorders>
              <w:top w:val="single" w:color="auto" w:sz="4" w:space="0"/>
              <w:left w:val="single" w:color="auto" w:sz="4" w:space="0"/>
              <w:bottom w:val="single" w:color="auto" w:sz="4" w:space="0"/>
              <w:right w:val="single" w:color="auto" w:sz="4" w:space="0"/>
            </w:tcBorders>
            <w:noWrap w:val="0"/>
            <w:vAlign w:val="center"/>
          </w:tcPr>
          <w:p w14:paraId="326532B5">
            <w:pPr>
              <w:spacing w:line="280" w:lineRule="exact"/>
              <w:jc w:val="center"/>
              <w:rPr>
                <w:sz w:val="28"/>
              </w:rPr>
            </w:pPr>
            <w:r>
              <w:rPr>
                <w:rFonts w:hint="eastAsia"/>
                <w:sz w:val="28"/>
              </w:rPr>
              <w:t>继续教育情况</w:t>
            </w:r>
          </w:p>
        </w:tc>
        <w:tc>
          <w:tcPr>
            <w:tcW w:w="2501" w:type="dxa"/>
            <w:gridSpan w:val="4"/>
            <w:tcBorders>
              <w:top w:val="single" w:color="auto" w:sz="4" w:space="0"/>
              <w:left w:val="single" w:color="auto" w:sz="4" w:space="0"/>
              <w:bottom w:val="single" w:color="auto" w:sz="4" w:space="0"/>
              <w:right w:val="single" w:color="auto" w:sz="4" w:space="0"/>
            </w:tcBorders>
            <w:noWrap w:val="0"/>
            <w:vAlign w:val="center"/>
          </w:tcPr>
          <w:p w14:paraId="5F57A10F">
            <w:pPr>
              <w:spacing w:line="280" w:lineRule="exact"/>
              <w:jc w:val="center"/>
              <w:rPr>
                <w:sz w:val="28"/>
              </w:rPr>
            </w:pPr>
            <w:r>
              <w:rPr>
                <w:rFonts w:hint="eastAsia" w:ascii="仿宋_GB2312" w:eastAsia="仿宋_GB2312"/>
                <w:sz w:val="24"/>
                <w:lang w:val="en-US" w:eastAsia="zh-CN"/>
              </w:rPr>
              <w:t>合格</w:t>
            </w:r>
          </w:p>
        </w:tc>
        <w:tc>
          <w:tcPr>
            <w:tcW w:w="1854" w:type="dxa"/>
            <w:vMerge w:val="continue"/>
            <w:tcBorders>
              <w:left w:val="single" w:color="auto" w:sz="4" w:space="0"/>
              <w:right w:val="single" w:color="auto" w:sz="4" w:space="0"/>
            </w:tcBorders>
            <w:noWrap w:val="0"/>
            <w:vAlign w:val="bottom"/>
          </w:tcPr>
          <w:p w14:paraId="70ACBC97">
            <w:pPr>
              <w:spacing w:line="280" w:lineRule="exact"/>
              <w:jc w:val="center"/>
            </w:pPr>
          </w:p>
        </w:tc>
        <w:tc>
          <w:tcPr>
            <w:tcW w:w="11365" w:type="dxa"/>
            <w:vMerge w:val="continue"/>
            <w:tcBorders>
              <w:left w:val="single" w:color="auto" w:sz="4" w:space="0"/>
              <w:right w:val="single" w:color="auto" w:sz="4" w:space="0"/>
            </w:tcBorders>
            <w:noWrap w:val="0"/>
            <w:vAlign w:val="top"/>
          </w:tcPr>
          <w:p w14:paraId="672A60E8">
            <w:pPr>
              <w:spacing w:line="280" w:lineRule="exact"/>
            </w:pPr>
          </w:p>
        </w:tc>
      </w:tr>
      <w:tr w14:paraId="78C7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93" w:type="dxa"/>
            <w:gridSpan w:val="2"/>
            <w:tcBorders>
              <w:top w:val="single" w:color="auto" w:sz="4" w:space="0"/>
              <w:left w:val="single" w:color="auto" w:sz="4" w:space="0"/>
              <w:bottom w:val="single" w:color="auto" w:sz="4" w:space="0"/>
              <w:right w:val="single" w:color="auto" w:sz="4" w:space="0"/>
            </w:tcBorders>
            <w:noWrap w:val="0"/>
            <w:vAlign w:val="center"/>
          </w:tcPr>
          <w:p w14:paraId="7A0062BA">
            <w:pPr>
              <w:spacing w:line="280" w:lineRule="exact"/>
              <w:jc w:val="center"/>
              <w:rPr>
                <w:sz w:val="28"/>
              </w:rPr>
            </w:pPr>
            <w:r>
              <w:rPr>
                <w:rFonts w:hint="eastAsia"/>
                <w:spacing w:val="-20"/>
                <w:sz w:val="28"/>
              </w:rPr>
              <w:t>计算机成绩</w:t>
            </w:r>
          </w:p>
        </w:tc>
        <w:tc>
          <w:tcPr>
            <w:tcW w:w="1358" w:type="dxa"/>
            <w:gridSpan w:val="2"/>
            <w:tcBorders>
              <w:top w:val="single" w:color="auto" w:sz="4" w:space="0"/>
              <w:left w:val="single" w:color="auto" w:sz="4" w:space="0"/>
              <w:bottom w:val="single" w:color="auto" w:sz="4" w:space="0"/>
              <w:right w:val="single" w:color="auto" w:sz="4" w:space="0"/>
            </w:tcBorders>
            <w:noWrap w:val="0"/>
            <w:vAlign w:val="center"/>
          </w:tcPr>
          <w:p w14:paraId="559F7F1B">
            <w:pPr>
              <w:spacing w:line="280" w:lineRule="exact"/>
              <w:jc w:val="center"/>
              <w:rPr>
                <w:sz w:val="28"/>
              </w:rPr>
            </w:pPr>
            <w:r>
              <w:rPr>
                <w:rFonts w:hint="eastAsia" w:ascii="仿宋_GB2312" w:eastAsia="仿宋_GB2312"/>
                <w:sz w:val="24"/>
              </w:rPr>
              <w:t>全国专技人员计算机应用能力考试合格</w:t>
            </w:r>
          </w:p>
        </w:tc>
        <w:tc>
          <w:tcPr>
            <w:tcW w:w="2062" w:type="dxa"/>
            <w:gridSpan w:val="6"/>
            <w:tcBorders>
              <w:top w:val="single" w:color="auto" w:sz="4" w:space="0"/>
              <w:left w:val="single" w:color="auto" w:sz="4" w:space="0"/>
              <w:bottom w:val="single" w:color="auto" w:sz="4" w:space="0"/>
              <w:right w:val="single" w:color="auto" w:sz="4" w:space="0"/>
            </w:tcBorders>
            <w:noWrap w:val="0"/>
            <w:vAlign w:val="center"/>
          </w:tcPr>
          <w:p w14:paraId="1F5DEDF7">
            <w:pPr>
              <w:widowControl/>
              <w:spacing w:line="280" w:lineRule="exact"/>
              <w:jc w:val="center"/>
              <w:rPr>
                <w:sz w:val="28"/>
              </w:rPr>
            </w:pPr>
            <w:r>
              <w:rPr>
                <w:rFonts w:hint="eastAsia"/>
                <w:sz w:val="28"/>
              </w:rPr>
              <w:t>是否破格</w:t>
            </w:r>
          </w:p>
        </w:tc>
        <w:tc>
          <w:tcPr>
            <w:tcW w:w="2501" w:type="dxa"/>
            <w:gridSpan w:val="4"/>
            <w:tcBorders>
              <w:top w:val="single" w:color="auto" w:sz="4" w:space="0"/>
              <w:left w:val="single" w:color="auto" w:sz="4" w:space="0"/>
              <w:bottom w:val="single" w:color="auto" w:sz="4" w:space="0"/>
              <w:right w:val="single" w:color="auto" w:sz="4" w:space="0"/>
            </w:tcBorders>
            <w:noWrap w:val="0"/>
            <w:vAlign w:val="center"/>
          </w:tcPr>
          <w:p w14:paraId="2F6B30AE">
            <w:pPr>
              <w:spacing w:line="280" w:lineRule="exact"/>
              <w:jc w:val="center"/>
              <w:rPr>
                <w:rFonts w:hint="eastAsia" w:eastAsia="宋体"/>
                <w:sz w:val="28"/>
                <w:lang w:val="en-US" w:eastAsia="zh-CN"/>
              </w:rPr>
            </w:pPr>
            <w:r>
              <w:rPr>
                <w:rFonts w:hint="eastAsia" w:ascii="仿宋_GB2312" w:hAnsi="Times New Roman" w:eastAsia="仿宋_GB2312" w:cs="Times New Roman"/>
                <w:sz w:val="24"/>
                <w:lang w:val="en-US" w:eastAsia="zh-CN"/>
              </w:rPr>
              <w:t>否</w:t>
            </w:r>
          </w:p>
        </w:tc>
        <w:tc>
          <w:tcPr>
            <w:tcW w:w="1854" w:type="dxa"/>
            <w:vMerge w:val="continue"/>
            <w:tcBorders>
              <w:left w:val="single" w:color="auto" w:sz="4" w:space="0"/>
              <w:right w:val="single" w:color="auto" w:sz="4" w:space="0"/>
            </w:tcBorders>
            <w:noWrap w:val="0"/>
            <w:vAlign w:val="bottom"/>
          </w:tcPr>
          <w:p w14:paraId="649B83EC">
            <w:pPr>
              <w:spacing w:line="280" w:lineRule="exact"/>
              <w:jc w:val="center"/>
            </w:pPr>
          </w:p>
        </w:tc>
        <w:tc>
          <w:tcPr>
            <w:tcW w:w="11365" w:type="dxa"/>
            <w:vMerge w:val="continue"/>
            <w:tcBorders>
              <w:left w:val="single" w:color="auto" w:sz="4" w:space="0"/>
              <w:right w:val="single" w:color="auto" w:sz="4" w:space="0"/>
            </w:tcBorders>
            <w:noWrap w:val="0"/>
            <w:vAlign w:val="top"/>
          </w:tcPr>
          <w:p w14:paraId="7E003808">
            <w:pPr>
              <w:spacing w:line="280" w:lineRule="exact"/>
            </w:pPr>
          </w:p>
        </w:tc>
      </w:tr>
      <w:tr w14:paraId="5CA9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951" w:type="dxa"/>
            <w:gridSpan w:val="4"/>
            <w:tcBorders>
              <w:top w:val="single" w:color="auto" w:sz="4" w:space="0"/>
              <w:left w:val="single" w:color="auto" w:sz="4" w:space="0"/>
              <w:right w:val="single" w:color="auto" w:sz="4" w:space="0"/>
            </w:tcBorders>
            <w:noWrap w:val="0"/>
            <w:vAlign w:val="center"/>
          </w:tcPr>
          <w:p w14:paraId="26D99F99">
            <w:pPr>
              <w:spacing w:line="280" w:lineRule="exact"/>
              <w:jc w:val="center"/>
              <w:rPr>
                <w:rFonts w:hint="eastAsia"/>
                <w:sz w:val="28"/>
              </w:rPr>
            </w:pPr>
            <w:r>
              <w:rPr>
                <w:rFonts w:hint="eastAsia"/>
                <w:sz w:val="28"/>
              </w:rPr>
              <w:t>最后学历及毕业时间</w:t>
            </w:r>
          </w:p>
        </w:tc>
        <w:tc>
          <w:tcPr>
            <w:tcW w:w="4563" w:type="dxa"/>
            <w:gridSpan w:val="10"/>
            <w:tcBorders>
              <w:top w:val="single" w:color="auto" w:sz="4" w:space="0"/>
              <w:left w:val="single" w:color="auto" w:sz="4" w:space="0"/>
              <w:right w:val="single" w:color="auto" w:sz="4" w:space="0"/>
            </w:tcBorders>
            <w:noWrap w:val="0"/>
            <w:vAlign w:val="center"/>
          </w:tcPr>
          <w:p w14:paraId="04D56CE2">
            <w:pPr>
              <w:spacing w:line="280" w:lineRule="exact"/>
              <w:jc w:val="center"/>
              <w:rPr>
                <w:rFonts w:hint="default" w:eastAsia="宋体"/>
                <w:sz w:val="28"/>
                <w:lang w:val="en-US" w:eastAsia="zh-CN"/>
              </w:rPr>
            </w:pPr>
            <w:r>
              <w:rPr>
                <w:rFonts w:hint="eastAsia" w:ascii="仿宋_GB2312" w:hAnsi="Times New Roman" w:eastAsia="仿宋_GB2312" w:cs="Times New Roman"/>
                <w:sz w:val="24"/>
                <w:lang w:val="en-US" w:eastAsia="zh-CN"/>
              </w:rPr>
              <w:t>研究生  2003年6月</w:t>
            </w:r>
          </w:p>
        </w:tc>
        <w:tc>
          <w:tcPr>
            <w:tcW w:w="1854" w:type="dxa"/>
            <w:vMerge w:val="continue"/>
            <w:tcBorders>
              <w:left w:val="single" w:color="auto" w:sz="4" w:space="0"/>
              <w:right w:val="single" w:color="auto" w:sz="4" w:space="0"/>
            </w:tcBorders>
            <w:noWrap w:val="0"/>
            <w:vAlign w:val="bottom"/>
          </w:tcPr>
          <w:p w14:paraId="35692B09">
            <w:pPr>
              <w:spacing w:line="280" w:lineRule="exact"/>
              <w:jc w:val="center"/>
              <w:rPr>
                <w:sz w:val="28"/>
              </w:rPr>
            </w:pPr>
          </w:p>
        </w:tc>
        <w:tc>
          <w:tcPr>
            <w:tcW w:w="11365" w:type="dxa"/>
            <w:vMerge w:val="continue"/>
            <w:tcBorders>
              <w:left w:val="single" w:color="auto" w:sz="4" w:space="0"/>
              <w:right w:val="single" w:color="auto" w:sz="4" w:space="0"/>
            </w:tcBorders>
            <w:noWrap w:val="0"/>
            <w:vAlign w:val="top"/>
          </w:tcPr>
          <w:p w14:paraId="338C47EA">
            <w:pPr>
              <w:spacing w:line="280" w:lineRule="exact"/>
              <w:rPr>
                <w:sz w:val="28"/>
              </w:rPr>
            </w:pPr>
          </w:p>
        </w:tc>
      </w:tr>
      <w:tr w14:paraId="764F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960" w:type="dxa"/>
            <w:gridSpan w:val="5"/>
            <w:tcBorders>
              <w:top w:val="single" w:color="auto" w:sz="4" w:space="0"/>
              <w:left w:val="single" w:color="auto" w:sz="4" w:space="0"/>
              <w:bottom w:val="single" w:color="auto" w:sz="4" w:space="0"/>
              <w:right w:val="single" w:color="auto" w:sz="4" w:space="0"/>
            </w:tcBorders>
            <w:noWrap w:val="0"/>
            <w:vAlign w:val="center"/>
          </w:tcPr>
          <w:p w14:paraId="6FBA659B">
            <w:pPr>
              <w:spacing w:line="280" w:lineRule="exact"/>
              <w:jc w:val="center"/>
              <w:rPr>
                <w:rFonts w:hint="eastAsia"/>
                <w:sz w:val="28"/>
              </w:rPr>
            </w:pPr>
            <w:r>
              <w:rPr>
                <w:rFonts w:hint="eastAsia"/>
                <w:spacing w:val="-20"/>
                <w:sz w:val="28"/>
              </w:rPr>
              <w:t>现任专技职称名称及时间</w:t>
            </w:r>
          </w:p>
        </w:tc>
        <w:tc>
          <w:tcPr>
            <w:tcW w:w="4554" w:type="dxa"/>
            <w:gridSpan w:val="9"/>
            <w:tcBorders>
              <w:top w:val="single" w:color="auto" w:sz="4" w:space="0"/>
              <w:left w:val="single" w:color="auto" w:sz="4" w:space="0"/>
              <w:bottom w:val="single" w:color="auto" w:sz="4" w:space="0"/>
              <w:right w:val="single" w:color="auto" w:sz="4" w:space="0"/>
            </w:tcBorders>
            <w:noWrap w:val="0"/>
            <w:vAlign w:val="center"/>
          </w:tcPr>
          <w:p w14:paraId="0FDBB3EA">
            <w:pPr>
              <w:spacing w:line="280" w:lineRule="exact"/>
              <w:jc w:val="center"/>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副教授 2010年11月</w:t>
            </w:r>
          </w:p>
          <w:p w14:paraId="1F09824B">
            <w:pPr>
              <w:spacing w:line="280" w:lineRule="exact"/>
              <w:jc w:val="center"/>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高级政工师2025年11月</w:t>
            </w:r>
          </w:p>
        </w:tc>
        <w:tc>
          <w:tcPr>
            <w:tcW w:w="1854" w:type="dxa"/>
            <w:vMerge w:val="continue"/>
            <w:tcBorders>
              <w:left w:val="single" w:color="auto" w:sz="4" w:space="0"/>
              <w:right w:val="single" w:color="auto" w:sz="4" w:space="0"/>
            </w:tcBorders>
            <w:noWrap w:val="0"/>
            <w:vAlign w:val="top"/>
          </w:tcPr>
          <w:p w14:paraId="4F773F07">
            <w:pPr>
              <w:spacing w:line="280" w:lineRule="exact"/>
              <w:rPr>
                <w:sz w:val="28"/>
              </w:rPr>
            </w:pPr>
          </w:p>
        </w:tc>
        <w:tc>
          <w:tcPr>
            <w:tcW w:w="11365" w:type="dxa"/>
            <w:vMerge w:val="continue"/>
            <w:tcBorders>
              <w:left w:val="single" w:color="auto" w:sz="4" w:space="0"/>
              <w:right w:val="single" w:color="auto" w:sz="4" w:space="0"/>
            </w:tcBorders>
            <w:noWrap w:val="0"/>
            <w:vAlign w:val="top"/>
          </w:tcPr>
          <w:p w14:paraId="71F83769">
            <w:pPr>
              <w:spacing w:line="280" w:lineRule="exact"/>
              <w:rPr>
                <w:sz w:val="28"/>
              </w:rPr>
            </w:pPr>
          </w:p>
        </w:tc>
      </w:tr>
      <w:tr w14:paraId="7F8D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960" w:type="dxa"/>
            <w:gridSpan w:val="5"/>
            <w:tcBorders>
              <w:top w:val="single" w:color="auto" w:sz="4" w:space="0"/>
              <w:left w:val="single" w:color="auto" w:sz="4" w:space="0"/>
              <w:bottom w:val="single" w:color="auto" w:sz="4" w:space="0"/>
              <w:right w:val="single" w:color="auto" w:sz="4" w:space="0"/>
            </w:tcBorders>
            <w:noWrap w:val="0"/>
            <w:vAlign w:val="center"/>
          </w:tcPr>
          <w:p w14:paraId="42071A75">
            <w:pPr>
              <w:spacing w:line="280" w:lineRule="exact"/>
              <w:jc w:val="center"/>
              <w:rPr>
                <w:rFonts w:hint="eastAsia"/>
                <w:sz w:val="28"/>
                <w:szCs w:val="28"/>
              </w:rPr>
            </w:pPr>
            <w:r>
              <w:rPr>
                <w:rFonts w:hint="eastAsia"/>
                <w:sz w:val="28"/>
                <w:szCs w:val="28"/>
              </w:rPr>
              <w:t>拟申报何专技职称</w:t>
            </w:r>
          </w:p>
        </w:tc>
        <w:tc>
          <w:tcPr>
            <w:tcW w:w="4554" w:type="dxa"/>
            <w:gridSpan w:val="9"/>
            <w:tcBorders>
              <w:top w:val="single" w:color="auto" w:sz="4" w:space="0"/>
              <w:left w:val="single" w:color="auto" w:sz="4" w:space="0"/>
              <w:bottom w:val="single" w:color="auto" w:sz="4" w:space="0"/>
              <w:right w:val="single" w:color="auto" w:sz="4" w:space="0"/>
            </w:tcBorders>
            <w:noWrap w:val="0"/>
            <w:vAlign w:val="center"/>
          </w:tcPr>
          <w:p w14:paraId="7275B465">
            <w:pPr>
              <w:spacing w:line="280" w:lineRule="exact"/>
              <w:jc w:val="center"/>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正</w:t>
            </w:r>
            <w:r>
              <w:rPr>
                <w:rFonts w:hint="eastAsia" w:ascii="仿宋_GB2312" w:hAnsi="Times New Roman" w:eastAsia="仿宋_GB2312" w:cs="Times New Roman"/>
                <w:sz w:val="24"/>
                <w:lang w:val="en-US" w:eastAsia="zh-CN"/>
              </w:rPr>
              <w:t>高级政工师</w:t>
            </w:r>
          </w:p>
        </w:tc>
        <w:tc>
          <w:tcPr>
            <w:tcW w:w="1854" w:type="dxa"/>
            <w:vMerge w:val="continue"/>
            <w:tcBorders>
              <w:left w:val="single" w:color="auto" w:sz="4" w:space="0"/>
              <w:right w:val="single" w:color="auto" w:sz="4" w:space="0"/>
            </w:tcBorders>
            <w:noWrap w:val="0"/>
            <w:vAlign w:val="top"/>
          </w:tcPr>
          <w:p w14:paraId="61DB7634">
            <w:pPr>
              <w:spacing w:line="280" w:lineRule="exact"/>
              <w:rPr>
                <w:sz w:val="28"/>
              </w:rPr>
            </w:pPr>
          </w:p>
        </w:tc>
        <w:tc>
          <w:tcPr>
            <w:tcW w:w="11365" w:type="dxa"/>
            <w:vMerge w:val="continue"/>
            <w:tcBorders>
              <w:left w:val="single" w:color="auto" w:sz="4" w:space="0"/>
              <w:right w:val="single" w:color="auto" w:sz="4" w:space="0"/>
            </w:tcBorders>
            <w:noWrap w:val="0"/>
            <w:vAlign w:val="top"/>
          </w:tcPr>
          <w:p w14:paraId="4FE8E445">
            <w:pPr>
              <w:spacing w:line="280" w:lineRule="exact"/>
              <w:rPr>
                <w:sz w:val="28"/>
              </w:rPr>
            </w:pPr>
          </w:p>
        </w:tc>
      </w:tr>
      <w:tr w14:paraId="5742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7514" w:type="dxa"/>
            <w:gridSpan w:val="14"/>
            <w:tcBorders>
              <w:top w:val="single" w:color="auto" w:sz="4" w:space="0"/>
              <w:left w:val="single" w:color="auto" w:sz="4" w:space="0"/>
              <w:bottom w:val="single" w:color="auto" w:sz="4" w:space="0"/>
              <w:right w:val="single" w:color="auto" w:sz="4" w:space="0"/>
            </w:tcBorders>
            <w:noWrap w:val="0"/>
            <w:vAlign w:val="center"/>
          </w:tcPr>
          <w:p w14:paraId="7BA7A558">
            <w:pPr>
              <w:widowControl/>
              <w:spacing w:line="280" w:lineRule="exact"/>
              <w:jc w:val="center"/>
              <w:rPr>
                <w:rFonts w:hint="eastAsia"/>
                <w:sz w:val="28"/>
              </w:rPr>
            </w:pPr>
            <w:r>
              <w:rPr>
                <w:rFonts w:hint="eastAsia"/>
                <w:sz w:val="28"/>
              </w:rPr>
              <w:t>学习经历和工作经历</w:t>
            </w:r>
          </w:p>
        </w:tc>
        <w:tc>
          <w:tcPr>
            <w:tcW w:w="1854" w:type="dxa"/>
            <w:vMerge w:val="continue"/>
            <w:tcBorders>
              <w:left w:val="single" w:color="auto" w:sz="4" w:space="0"/>
              <w:right w:val="single" w:color="auto" w:sz="4" w:space="0"/>
            </w:tcBorders>
            <w:noWrap w:val="0"/>
            <w:vAlign w:val="top"/>
          </w:tcPr>
          <w:p w14:paraId="724BD309">
            <w:pPr>
              <w:spacing w:line="280" w:lineRule="exact"/>
              <w:rPr>
                <w:sz w:val="28"/>
              </w:rPr>
            </w:pPr>
          </w:p>
        </w:tc>
        <w:tc>
          <w:tcPr>
            <w:tcW w:w="11365" w:type="dxa"/>
            <w:vMerge w:val="continue"/>
            <w:tcBorders>
              <w:left w:val="single" w:color="auto" w:sz="4" w:space="0"/>
              <w:right w:val="single" w:color="auto" w:sz="4" w:space="0"/>
            </w:tcBorders>
            <w:noWrap w:val="0"/>
            <w:vAlign w:val="top"/>
          </w:tcPr>
          <w:p w14:paraId="15110A0F">
            <w:pPr>
              <w:spacing w:line="280" w:lineRule="exact"/>
              <w:rPr>
                <w:sz w:val="28"/>
              </w:rPr>
            </w:pPr>
          </w:p>
        </w:tc>
      </w:tr>
      <w:tr w14:paraId="6F70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29563BDA">
            <w:pPr>
              <w:spacing w:line="280" w:lineRule="exact"/>
              <w:jc w:val="center"/>
              <w:rPr>
                <w:rFonts w:hint="eastAsia"/>
                <w:sz w:val="28"/>
              </w:rPr>
            </w:pPr>
            <w:r>
              <w:rPr>
                <w:rFonts w:hint="eastAsia"/>
                <w:sz w:val="28"/>
              </w:rPr>
              <w:t>起止年月</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33C50027">
            <w:pPr>
              <w:spacing w:line="280" w:lineRule="exact"/>
              <w:jc w:val="center"/>
              <w:rPr>
                <w:rFonts w:hint="eastAsia"/>
                <w:sz w:val="28"/>
              </w:rPr>
            </w:pPr>
            <w:r>
              <w:rPr>
                <w:rFonts w:hint="eastAsia"/>
                <w:sz w:val="28"/>
              </w:rPr>
              <w:t>在何单位从事何工作任何职务</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2AB4450C">
            <w:pPr>
              <w:spacing w:line="280" w:lineRule="exact"/>
              <w:jc w:val="center"/>
              <w:rPr>
                <w:rFonts w:hint="eastAsia"/>
                <w:sz w:val="28"/>
              </w:rPr>
            </w:pPr>
            <w:r>
              <w:rPr>
                <w:rFonts w:hint="eastAsia"/>
                <w:sz w:val="28"/>
              </w:rPr>
              <w:t>证明人</w:t>
            </w:r>
          </w:p>
        </w:tc>
        <w:tc>
          <w:tcPr>
            <w:tcW w:w="1854" w:type="dxa"/>
            <w:vMerge w:val="continue"/>
            <w:tcBorders>
              <w:left w:val="single" w:color="auto" w:sz="4" w:space="0"/>
              <w:right w:val="single" w:color="auto" w:sz="4" w:space="0"/>
            </w:tcBorders>
            <w:noWrap w:val="0"/>
            <w:vAlign w:val="top"/>
          </w:tcPr>
          <w:p w14:paraId="0D213A05">
            <w:pPr>
              <w:spacing w:line="280" w:lineRule="exact"/>
              <w:rPr>
                <w:sz w:val="28"/>
              </w:rPr>
            </w:pPr>
          </w:p>
        </w:tc>
        <w:tc>
          <w:tcPr>
            <w:tcW w:w="11365" w:type="dxa"/>
            <w:vMerge w:val="continue"/>
            <w:tcBorders>
              <w:left w:val="single" w:color="auto" w:sz="4" w:space="0"/>
              <w:right w:val="single" w:color="auto" w:sz="4" w:space="0"/>
            </w:tcBorders>
            <w:noWrap w:val="0"/>
            <w:vAlign w:val="top"/>
          </w:tcPr>
          <w:p w14:paraId="49F08D22">
            <w:pPr>
              <w:spacing w:line="280" w:lineRule="exact"/>
              <w:rPr>
                <w:sz w:val="28"/>
              </w:rPr>
            </w:pPr>
          </w:p>
        </w:tc>
      </w:tr>
      <w:tr w14:paraId="1A61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7DF1615E">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1992.09-1995.07</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36058B4F">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零陵师专史政专业学习</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453C1747">
            <w:pPr>
              <w:spacing w:line="280" w:lineRule="exact"/>
              <w:jc w:val="center"/>
              <w:rPr>
                <w:rFonts w:hint="eastAsia" w:ascii="方正书宋简体" w:hAnsi="宋体" w:eastAsia="方正书宋简体"/>
              </w:rPr>
            </w:pPr>
          </w:p>
        </w:tc>
        <w:tc>
          <w:tcPr>
            <w:tcW w:w="1854" w:type="dxa"/>
            <w:vMerge w:val="continue"/>
            <w:tcBorders>
              <w:left w:val="single" w:color="auto" w:sz="4" w:space="0"/>
              <w:bottom w:val="single" w:color="auto" w:sz="4" w:space="0"/>
              <w:right w:val="single" w:color="auto" w:sz="4" w:space="0"/>
            </w:tcBorders>
            <w:noWrap w:val="0"/>
            <w:vAlign w:val="top"/>
          </w:tcPr>
          <w:p w14:paraId="2272E94D">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5EF20978">
            <w:pPr>
              <w:spacing w:line="280" w:lineRule="exact"/>
              <w:rPr>
                <w:sz w:val="28"/>
              </w:rPr>
            </w:pPr>
          </w:p>
        </w:tc>
      </w:tr>
      <w:tr w14:paraId="2794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3393310C">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1995.07-2000.09</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13AB9C48">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湖南省郴州市轻纺工业供销公司</w:t>
            </w:r>
          </w:p>
          <w:p w14:paraId="54B418E1">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办公室工作</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64124904">
            <w:pPr>
              <w:spacing w:line="280" w:lineRule="exact"/>
              <w:jc w:val="center"/>
              <w:rPr>
                <w:rFonts w:hint="eastAsia"/>
                <w:sz w:val="28"/>
              </w:rPr>
            </w:pPr>
          </w:p>
        </w:tc>
        <w:tc>
          <w:tcPr>
            <w:tcW w:w="1854" w:type="dxa"/>
            <w:vMerge w:val="restart"/>
            <w:tcBorders>
              <w:left w:val="single" w:color="auto" w:sz="4" w:space="0"/>
              <w:bottom w:val="single" w:color="auto" w:sz="4" w:space="0"/>
              <w:right w:val="single" w:color="auto" w:sz="4" w:space="0"/>
            </w:tcBorders>
            <w:noWrap w:val="0"/>
            <w:vAlign w:val="center"/>
          </w:tcPr>
          <w:p w14:paraId="4F8B04DA">
            <w:pPr>
              <w:spacing w:line="280" w:lineRule="exact"/>
              <w:jc w:val="center"/>
              <w:rPr>
                <w:rFonts w:hint="eastAsia"/>
                <w:sz w:val="28"/>
              </w:rPr>
            </w:pPr>
            <w:r>
              <w:rPr>
                <w:rFonts w:hint="eastAsia"/>
                <w:sz w:val="28"/>
              </w:rPr>
              <w:t>承担或参与的科研项目及鉴定</w:t>
            </w:r>
            <w:r>
              <w:rPr>
                <w:rFonts w:hint="eastAsia" w:ascii="宋体"/>
                <w:sz w:val="28"/>
              </w:rPr>
              <w:t>、</w:t>
            </w:r>
            <w:r>
              <w:rPr>
                <w:rFonts w:hint="eastAsia"/>
                <w:sz w:val="28"/>
              </w:rPr>
              <w:t>获</w:t>
            </w:r>
          </w:p>
          <w:p w14:paraId="16BC5DDC">
            <w:pPr>
              <w:spacing w:line="280" w:lineRule="exact"/>
              <w:jc w:val="center"/>
              <w:rPr>
                <w:rFonts w:hint="eastAsia"/>
                <w:sz w:val="28"/>
              </w:rPr>
            </w:pPr>
            <w:r>
              <w:rPr>
                <w:rFonts w:hint="eastAsia"/>
                <w:sz w:val="28"/>
              </w:rPr>
              <w:t>奖  情  况</w:t>
            </w:r>
          </w:p>
        </w:tc>
        <w:tc>
          <w:tcPr>
            <w:tcW w:w="11365" w:type="dxa"/>
            <w:vMerge w:val="restart"/>
            <w:tcBorders>
              <w:left w:val="single" w:color="auto" w:sz="4" w:space="0"/>
              <w:bottom w:val="single" w:color="auto" w:sz="4" w:space="0"/>
              <w:right w:val="single" w:color="auto" w:sz="4" w:space="0"/>
            </w:tcBorders>
            <w:noWrap w:val="0"/>
            <w:vAlign w:val="top"/>
          </w:tcPr>
          <w:p w14:paraId="220F5786">
            <w:pPr>
              <w:spacing w:line="280" w:lineRule="exact"/>
              <w:rPr>
                <w:rFonts w:hint="eastAsia"/>
                <w:sz w:val="28"/>
              </w:rPr>
            </w:pPr>
          </w:p>
          <w:p w14:paraId="66076200">
            <w:pPr>
              <w:rPr>
                <w:rFonts w:hint="eastAsia"/>
              </w:rPr>
            </w:pPr>
            <w:r>
              <w:rPr>
                <w:rFonts w:hint="eastAsia"/>
              </w:rPr>
              <w:t>2022.07</w:t>
            </w:r>
            <w:r>
              <w:rPr>
                <w:rFonts w:hint="eastAsia"/>
                <w:lang w:eastAsia="zh-CN"/>
              </w:rPr>
              <w:t>，</w:t>
            </w:r>
            <w:r>
              <w:rPr>
                <w:rFonts w:hint="eastAsia"/>
                <w:lang w:val="en-US" w:eastAsia="zh-CN"/>
              </w:rPr>
              <w:t>湖南省高校优秀思想政治工作者项目：</w:t>
            </w:r>
            <w:r>
              <w:rPr>
                <w:rFonts w:hint="eastAsia"/>
              </w:rPr>
              <w:t>高职院校“五力协同”网络思政育人体系探索</w:t>
            </w:r>
            <w:r>
              <w:rPr>
                <w:rFonts w:hint="eastAsia"/>
                <w:lang w:eastAsia="zh-CN"/>
              </w:rPr>
              <w:t>，</w:t>
            </w:r>
            <w:r>
              <w:rPr>
                <w:rFonts w:hint="eastAsia"/>
              </w:rPr>
              <w:t>中共湖南省委教育工委</w:t>
            </w:r>
            <w:r>
              <w:rPr>
                <w:rFonts w:hint="eastAsia"/>
                <w:lang w:eastAsia="zh-CN"/>
              </w:rPr>
              <w:t>（</w:t>
            </w:r>
            <w:r>
              <w:rPr>
                <w:rFonts w:hint="eastAsia"/>
              </w:rPr>
              <w:t>主持</w:t>
            </w:r>
            <w:r>
              <w:rPr>
                <w:rFonts w:hint="eastAsia"/>
                <w:lang w:eastAsia="zh-CN"/>
              </w:rPr>
              <w:t>）</w:t>
            </w:r>
          </w:p>
          <w:p w14:paraId="1F58945C">
            <w:pPr>
              <w:rPr>
                <w:rFonts w:hint="eastAsia"/>
              </w:rPr>
            </w:pPr>
            <w:r>
              <w:rPr>
                <w:rFonts w:hint="eastAsia"/>
              </w:rPr>
              <w:t>2018.04</w:t>
            </w:r>
            <w:r>
              <w:rPr>
                <w:rFonts w:hint="eastAsia"/>
                <w:lang w:eastAsia="zh-CN"/>
              </w:rPr>
              <w:t>，</w:t>
            </w:r>
            <w:r>
              <w:rPr>
                <w:rFonts w:hint="eastAsia"/>
              </w:rPr>
              <w:t>基于“互联网+”的高职思政理论课“四位一体”教学改革实践教学成果奖省级</w:t>
            </w:r>
          </w:p>
          <w:p w14:paraId="4D2385B1">
            <w:pPr>
              <w:rPr>
                <w:rFonts w:hint="eastAsia"/>
              </w:rPr>
            </w:pPr>
            <w:r>
              <w:rPr>
                <w:rFonts w:hint="eastAsia"/>
              </w:rPr>
              <w:t>特等奖</w:t>
            </w:r>
            <w:r>
              <w:rPr>
                <w:rFonts w:hint="eastAsia"/>
                <w:lang w:eastAsia="zh-CN"/>
              </w:rPr>
              <w:t>，</w:t>
            </w:r>
            <w:r>
              <w:rPr>
                <w:rFonts w:hint="eastAsia"/>
              </w:rPr>
              <w:t>湖南省教育厅</w:t>
            </w:r>
            <w:r>
              <w:rPr>
                <w:rFonts w:hint="eastAsia"/>
                <w:lang w:eastAsia="zh-CN"/>
              </w:rPr>
              <w:t>（</w:t>
            </w:r>
            <w:r>
              <w:rPr>
                <w:rFonts w:hint="eastAsia"/>
              </w:rPr>
              <w:t>排名第7</w:t>
            </w:r>
            <w:r>
              <w:rPr>
                <w:rFonts w:hint="eastAsia"/>
                <w:lang w:eastAsia="zh-CN"/>
              </w:rPr>
              <w:t>）</w:t>
            </w:r>
            <w:r>
              <w:rPr>
                <w:rFonts w:hint="eastAsia"/>
              </w:rPr>
              <w:tab/>
            </w:r>
          </w:p>
          <w:p w14:paraId="22EE08F5">
            <w:pPr>
              <w:rPr>
                <w:rFonts w:hint="eastAsia"/>
              </w:rPr>
            </w:pPr>
            <w:r>
              <w:rPr>
                <w:rFonts w:hint="eastAsia"/>
              </w:rPr>
              <w:t>2017.12</w:t>
            </w:r>
            <w:r>
              <w:rPr>
                <w:rFonts w:hint="eastAsia"/>
                <w:lang w:eastAsia="zh-CN"/>
              </w:rPr>
              <w:t>，</w:t>
            </w:r>
            <w:r>
              <w:rPr>
                <w:rFonts w:hint="eastAsia"/>
              </w:rPr>
              <w:t>湖南省校园文化精品项目起帆新媒体工作室</w:t>
            </w:r>
            <w:r>
              <w:rPr>
                <w:rFonts w:hint="eastAsia"/>
                <w:lang w:eastAsia="zh-CN"/>
              </w:rPr>
              <w:t>，</w:t>
            </w:r>
            <w:r>
              <w:rPr>
                <w:rFonts w:hint="eastAsia"/>
              </w:rPr>
              <w:t>湖南省教育厅</w:t>
            </w:r>
            <w:r>
              <w:rPr>
                <w:rFonts w:hint="eastAsia"/>
                <w:lang w:eastAsia="zh-CN"/>
              </w:rPr>
              <w:t>（</w:t>
            </w:r>
            <w:r>
              <w:rPr>
                <w:rFonts w:hint="eastAsia"/>
              </w:rPr>
              <w:t>排名第2</w:t>
            </w:r>
            <w:r>
              <w:rPr>
                <w:rFonts w:hint="eastAsia"/>
                <w:lang w:eastAsia="zh-CN"/>
              </w:rPr>
              <w:t>）</w:t>
            </w:r>
            <w:r>
              <w:rPr>
                <w:rFonts w:hint="eastAsia"/>
              </w:rPr>
              <w:tab/>
            </w:r>
          </w:p>
          <w:p w14:paraId="63B2CE70">
            <w:pPr>
              <w:rPr>
                <w:rFonts w:hint="eastAsia"/>
              </w:rPr>
            </w:pPr>
            <w:r>
              <w:rPr>
                <w:rFonts w:hint="eastAsia"/>
              </w:rPr>
              <w:t>2016.05</w:t>
            </w:r>
            <w:r>
              <w:rPr>
                <w:rFonts w:hint="eastAsia"/>
                <w:lang w:eastAsia="zh-CN"/>
              </w:rPr>
              <w:t>，</w:t>
            </w:r>
            <w:r>
              <w:rPr>
                <w:rFonts w:hint="eastAsia"/>
              </w:rPr>
              <w:t>高职院校孤残学生社会支持体系的构建研究</w:t>
            </w:r>
            <w:r>
              <w:rPr>
                <w:rFonts w:hint="eastAsia"/>
                <w:lang w:eastAsia="zh-CN"/>
              </w:rPr>
              <w:t>，</w:t>
            </w:r>
            <w:r>
              <w:rPr>
                <w:rFonts w:hint="eastAsia"/>
              </w:rPr>
              <w:t>湖南省教育科学规划领导小组</w:t>
            </w:r>
            <w:r>
              <w:rPr>
                <w:rFonts w:hint="eastAsia"/>
                <w:lang w:eastAsia="zh-CN"/>
              </w:rPr>
              <w:t>（</w:t>
            </w:r>
            <w:r>
              <w:rPr>
                <w:rFonts w:hint="eastAsia"/>
              </w:rPr>
              <w:t>排名第2</w:t>
            </w:r>
            <w:r>
              <w:rPr>
                <w:rFonts w:hint="eastAsia"/>
                <w:lang w:eastAsia="zh-CN"/>
              </w:rPr>
              <w:t>）</w:t>
            </w:r>
            <w:r>
              <w:rPr>
                <w:rFonts w:hint="eastAsia"/>
              </w:rPr>
              <w:tab/>
            </w:r>
            <w:r>
              <w:rPr>
                <w:rFonts w:hint="eastAsia"/>
              </w:rPr>
              <w:tab/>
            </w:r>
          </w:p>
          <w:p w14:paraId="645C4568">
            <w:pPr>
              <w:rPr>
                <w:rFonts w:ascii="楷体_GB2312" w:eastAsia="楷体_GB2312"/>
                <w:sz w:val="24"/>
              </w:rPr>
            </w:pPr>
            <w:r>
              <w:rPr>
                <w:rFonts w:hint="eastAsia"/>
              </w:rPr>
              <w:t>2014.04</w:t>
            </w:r>
            <w:r>
              <w:rPr>
                <w:rFonts w:hint="eastAsia"/>
                <w:lang w:eastAsia="zh-CN"/>
              </w:rPr>
              <w:t>，</w:t>
            </w:r>
            <w:r>
              <w:rPr>
                <w:rFonts w:hint="eastAsia"/>
              </w:rPr>
              <w:t>新媒体视野下高校就业工作的应对研究</w:t>
            </w:r>
            <w:r>
              <w:rPr>
                <w:rFonts w:hint="eastAsia"/>
                <w:lang w:eastAsia="zh-CN"/>
              </w:rPr>
              <w:t>，</w:t>
            </w:r>
            <w:r>
              <w:rPr>
                <w:rFonts w:hint="eastAsia"/>
              </w:rPr>
              <w:t>湖南省教育科学规划领导小组</w:t>
            </w:r>
            <w:r>
              <w:rPr>
                <w:rFonts w:hint="eastAsia"/>
                <w:lang w:eastAsia="zh-CN"/>
              </w:rPr>
              <w:t>（</w:t>
            </w:r>
            <w:r>
              <w:rPr>
                <w:rFonts w:hint="eastAsia"/>
              </w:rPr>
              <w:t>排名第3</w:t>
            </w:r>
            <w:r>
              <w:rPr>
                <w:rFonts w:hint="eastAsia"/>
                <w:lang w:eastAsia="zh-CN"/>
              </w:rPr>
              <w:t>）</w:t>
            </w:r>
            <w:r>
              <w:rPr>
                <w:rFonts w:hint="eastAsia"/>
              </w:rPr>
              <w:t>2014.04</w:t>
            </w:r>
            <w:r>
              <w:rPr>
                <w:rFonts w:hint="eastAsia"/>
                <w:lang w:eastAsia="zh-CN"/>
              </w:rPr>
              <w:t>，</w:t>
            </w:r>
            <w:r>
              <w:rPr>
                <w:rFonts w:hint="eastAsia"/>
              </w:rPr>
              <w:t>基于云计算的高职院校隐性德育课程资源建设和应用研究</w:t>
            </w:r>
            <w:r>
              <w:rPr>
                <w:rFonts w:hint="eastAsia"/>
                <w:lang w:eastAsia="zh-CN"/>
              </w:rPr>
              <w:t>，</w:t>
            </w:r>
            <w:r>
              <w:rPr>
                <w:rFonts w:hint="eastAsia"/>
              </w:rPr>
              <w:t>湖南省教育科学规划领导小组</w:t>
            </w:r>
            <w:r>
              <w:rPr>
                <w:rFonts w:hint="eastAsia"/>
                <w:lang w:eastAsia="zh-CN"/>
              </w:rPr>
              <w:t>（</w:t>
            </w:r>
            <w:r>
              <w:rPr>
                <w:rFonts w:hint="eastAsia"/>
              </w:rPr>
              <w:t>排名第5</w:t>
            </w:r>
            <w:r>
              <w:rPr>
                <w:rFonts w:hint="eastAsia"/>
                <w:lang w:eastAsia="zh-CN"/>
              </w:rPr>
              <w:t>）</w:t>
            </w:r>
          </w:p>
        </w:tc>
      </w:tr>
      <w:tr w14:paraId="6C42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1B6B6912">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2000.09—2003.06</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5E6395AE">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湘潭大学法学院攻读全日制</w:t>
            </w:r>
          </w:p>
          <w:p w14:paraId="34EACAF5">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法律硕士</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69F27ED7">
            <w:pPr>
              <w:spacing w:line="280" w:lineRule="exact"/>
              <w:jc w:val="center"/>
              <w:rPr>
                <w:rFonts w:hint="eastAsia"/>
                <w:sz w:val="28"/>
              </w:rPr>
            </w:pPr>
          </w:p>
        </w:tc>
        <w:tc>
          <w:tcPr>
            <w:tcW w:w="1854" w:type="dxa"/>
            <w:vMerge w:val="continue"/>
            <w:tcBorders>
              <w:left w:val="single" w:color="auto" w:sz="4" w:space="0"/>
              <w:bottom w:val="single" w:color="auto" w:sz="4" w:space="0"/>
              <w:right w:val="single" w:color="auto" w:sz="4" w:space="0"/>
            </w:tcBorders>
            <w:noWrap w:val="0"/>
            <w:vAlign w:val="top"/>
          </w:tcPr>
          <w:p w14:paraId="381AAD3D">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646EE07F">
            <w:pPr>
              <w:spacing w:line="280" w:lineRule="exact"/>
              <w:rPr>
                <w:sz w:val="28"/>
              </w:rPr>
            </w:pPr>
          </w:p>
        </w:tc>
      </w:tr>
      <w:tr w14:paraId="4B18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3C05CAB1">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2003.07—2007.08</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539C2DF9">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长沙民政职院文法系教师</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5848CF24">
            <w:pPr>
              <w:spacing w:line="280" w:lineRule="exact"/>
              <w:jc w:val="center"/>
              <w:rPr>
                <w:rFonts w:hint="default" w:ascii="仿宋_GB2312" w:hAnsi="Times New Roman" w:eastAsia="仿宋_GB2312" w:cs="Times New Roman"/>
                <w:b w:val="0"/>
                <w:bCs w:val="0"/>
                <w:sz w:val="24"/>
                <w:szCs w:val="24"/>
                <w:lang w:val="en-US" w:eastAsia="zh-CN"/>
              </w:rPr>
            </w:pPr>
          </w:p>
        </w:tc>
        <w:tc>
          <w:tcPr>
            <w:tcW w:w="1854" w:type="dxa"/>
            <w:vMerge w:val="continue"/>
            <w:tcBorders>
              <w:left w:val="single" w:color="auto" w:sz="4" w:space="0"/>
              <w:bottom w:val="single" w:color="auto" w:sz="4" w:space="0"/>
              <w:right w:val="single" w:color="auto" w:sz="4" w:space="0"/>
            </w:tcBorders>
            <w:noWrap w:val="0"/>
            <w:vAlign w:val="top"/>
          </w:tcPr>
          <w:p w14:paraId="4DB5B9CA">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28624F60">
            <w:pPr>
              <w:spacing w:line="280" w:lineRule="exact"/>
              <w:rPr>
                <w:sz w:val="28"/>
              </w:rPr>
            </w:pPr>
          </w:p>
        </w:tc>
      </w:tr>
      <w:tr w14:paraId="09E5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3306EBA6">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2007．08—2008．08</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00C90266">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长沙民政职院电子工程系党总支副书记兼学工部部长</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2110A7CA">
            <w:pPr>
              <w:spacing w:line="280" w:lineRule="exact"/>
              <w:jc w:val="center"/>
              <w:rPr>
                <w:rFonts w:hint="eastAsia" w:ascii="仿宋_GB2312" w:hAnsi="Times New Roman" w:eastAsia="仿宋_GB2312" w:cs="Times New Roman"/>
                <w:b w:val="0"/>
                <w:bCs w:val="0"/>
                <w:sz w:val="24"/>
                <w:szCs w:val="24"/>
                <w:lang w:val="en-US" w:eastAsia="zh-CN"/>
              </w:rPr>
            </w:pPr>
          </w:p>
        </w:tc>
        <w:tc>
          <w:tcPr>
            <w:tcW w:w="1854" w:type="dxa"/>
            <w:vMerge w:val="continue"/>
            <w:tcBorders>
              <w:left w:val="single" w:color="auto" w:sz="4" w:space="0"/>
              <w:bottom w:val="single" w:color="auto" w:sz="4" w:space="0"/>
              <w:right w:val="single" w:color="auto" w:sz="4" w:space="0"/>
            </w:tcBorders>
            <w:noWrap w:val="0"/>
            <w:vAlign w:val="top"/>
          </w:tcPr>
          <w:p w14:paraId="0D071590">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045A632E">
            <w:pPr>
              <w:spacing w:line="280" w:lineRule="exact"/>
              <w:rPr>
                <w:sz w:val="28"/>
              </w:rPr>
            </w:pPr>
          </w:p>
        </w:tc>
      </w:tr>
      <w:tr w14:paraId="6A9B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4D78DCB0">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2008.08—2011.03</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24F66640">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长沙民政职院学生工作处、思想政治理论课教学部、就业指导中心学生工作处副处长兼思想政治理论课教学部部长兼就业指导中心主任</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41C9C26D">
            <w:pPr>
              <w:spacing w:line="280" w:lineRule="exact"/>
              <w:jc w:val="center"/>
              <w:rPr>
                <w:rFonts w:hint="eastAsia" w:ascii="仿宋_GB2312" w:hAnsi="Times New Roman" w:eastAsia="仿宋_GB2312" w:cs="Times New Roman"/>
                <w:b w:val="0"/>
                <w:bCs w:val="0"/>
                <w:sz w:val="24"/>
                <w:szCs w:val="24"/>
                <w:lang w:val="en-US" w:eastAsia="zh-CN"/>
              </w:rPr>
            </w:pPr>
          </w:p>
          <w:p w14:paraId="4DA772AA">
            <w:pPr>
              <w:spacing w:line="280" w:lineRule="exact"/>
              <w:jc w:val="center"/>
              <w:rPr>
                <w:rFonts w:hint="eastAsia" w:ascii="仿宋_GB2312" w:hAnsi="Times New Roman" w:eastAsia="仿宋_GB2312" w:cs="Times New Roman"/>
                <w:b w:val="0"/>
                <w:bCs w:val="0"/>
                <w:sz w:val="24"/>
                <w:szCs w:val="24"/>
                <w:lang w:val="en-US" w:eastAsia="zh-CN"/>
              </w:rPr>
            </w:pPr>
          </w:p>
        </w:tc>
        <w:tc>
          <w:tcPr>
            <w:tcW w:w="1854" w:type="dxa"/>
            <w:vMerge w:val="continue"/>
            <w:tcBorders>
              <w:left w:val="single" w:color="auto" w:sz="4" w:space="0"/>
              <w:bottom w:val="single" w:color="auto" w:sz="4" w:space="0"/>
              <w:right w:val="single" w:color="auto" w:sz="4" w:space="0"/>
            </w:tcBorders>
            <w:noWrap w:val="0"/>
            <w:vAlign w:val="top"/>
          </w:tcPr>
          <w:p w14:paraId="27DCF60C">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1CE654DC">
            <w:pPr>
              <w:spacing w:line="280" w:lineRule="exact"/>
              <w:rPr>
                <w:sz w:val="28"/>
              </w:rPr>
            </w:pPr>
          </w:p>
        </w:tc>
      </w:tr>
      <w:tr w14:paraId="2394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left w:val="single" w:color="auto" w:sz="4" w:space="0"/>
              <w:bottom w:val="single" w:color="auto" w:sz="4" w:space="0"/>
              <w:right w:val="single" w:color="auto" w:sz="4" w:space="0"/>
            </w:tcBorders>
            <w:noWrap w:val="0"/>
            <w:vAlign w:val="center"/>
          </w:tcPr>
          <w:p w14:paraId="316B1218">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2011.03—2015.03</w:t>
            </w:r>
          </w:p>
        </w:tc>
        <w:tc>
          <w:tcPr>
            <w:tcW w:w="3960" w:type="dxa"/>
            <w:gridSpan w:val="10"/>
            <w:tcBorders>
              <w:left w:val="single" w:color="auto" w:sz="4" w:space="0"/>
              <w:bottom w:val="single" w:color="auto" w:sz="4" w:space="0"/>
              <w:right w:val="single" w:color="auto" w:sz="4" w:space="0"/>
            </w:tcBorders>
            <w:noWrap w:val="0"/>
            <w:vAlign w:val="center"/>
          </w:tcPr>
          <w:p w14:paraId="69692874">
            <w:pPr>
              <w:spacing w:line="280" w:lineRule="exact"/>
              <w:jc w:val="center"/>
              <w:rPr>
                <w:rFonts w:hint="eastAsia" w:ascii="仿宋_GB2312" w:hAnsi="Times New Roman" w:eastAsia="仿宋_GB2312" w:cs="Times New Roman"/>
                <w:b w:val="0"/>
                <w:bCs w:val="0"/>
                <w:sz w:val="24"/>
                <w:szCs w:val="24"/>
                <w:lang w:val="en-US" w:eastAsia="zh-CN"/>
              </w:rPr>
            </w:pPr>
          </w:p>
          <w:p w14:paraId="51DE0C79">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长沙民政职院就业指导中心、学工处 就业指导中心主任兼学工处副处长</w:t>
            </w:r>
          </w:p>
          <w:p w14:paraId="516DD2DF">
            <w:pPr>
              <w:spacing w:line="280" w:lineRule="exact"/>
              <w:jc w:val="both"/>
              <w:rPr>
                <w:rFonts w:hint="eastAsia" w:ascii="仿宋_GB2312" w:hAnsi="Times New Roman" w:eastAsia="仿宋_GB2312" w:cs="Times New Roman"/>
                <w:b w:val="0"/>
                <w:bCs w:val="0"/>
                <w:sz w:val="24"/>
                <w:szCs w:val="24"/>
                <w:lang w:val="en-US" w:eastAsia="zh-CN"/>
              </w:rPr>
            </w:pPr>
          </w:p>
        </w:tc>
        <w:tc>
          <w:tcPr>
            <w:tcW w:w="2034" w:type="dxa"/>
            <w:gridSpan w:val="3"/>
            <w:tcBorders>
              <w:left w:val="single" w:color="auto" w:sz="4" w:space="0"/>
              <w:bottom w:val="single" w:color="auto" w:sz="4" w:space="0"/>
              <w:right w:val="single" w:color="auto" w:sz="4" w:space="0"/>
            </w:tcBorders>
            <w:noWrap w:val="0"/>
            <w:vAlign w:val="center"/>
          </w:tcPr>
          <w:p w14:paraId="76C579C8">
            <w:pPr>
              <w:spacing w:line="280" w:lineRule="exact"/>
              <w:jc w:val="center"/>
              <w:rPr>
                <w:rFonts w:hint="eastAsia" w:ascii="仿宋_GB2312" w:hAnsi="Times New Roman" w:eastAsia="仿宋_GB2312" w:cs="Times New Roman"/>
                <w:b w:val="0"/>
                <w:bCs w:val="0"/>
                <w:sz w:val="24"/>
                <w:szCs w:val="24"/>
                <w:lang w:val="en-US" w:eastAsia="zh-CN"/>
              </w:rPr>
            </w:pPr>
          </w:p>
        </w:tc>
        <w:tc>
          <w:tcPr>
            <w:tcW w:w="1854" w:type="dxa"/>
            <w:vMerge w:val="restart"/>
            <w:tcBorders>
              <w:left w:val="single" w:color="auto" w:sz="4" w:space="0"/>
              <w:bottom w:val="single" w:color="auto" w:sz="4" w:space="0"/>
              <w:right w:val="single" w:color="auto" w:sz="4" w:space="0"/>
            </w:tcBorders>
            <w:noWrap w:val="0"/>
            <w:vAlign w:val="center"/>
          </w:tcPr>
          <w:p w14:paraId="43FB90DD">
            <w:pPr>
              <w:spacing w:line="280" w:lineRule="exact"/>
              <w:jc w:val="center"/>
              <w:rPr>
                <w:sz w:val="28"/>
              </w:rPr>
            </w:pPr>
            <w:r>
              <w:rPr>
                <w:rFonts w:hint="eastAsia"/>
                <w:spacing w:val="-20"/>
                <w:sz w:val="28"/>
              </w:rPr>
              <w:t>发表</w:t>
            </w:r>
            <w:r>
              <w:rPr>
                <w:rFonts w:hint="eastAsia"/>
                <w:sz w:val="28"/>
              </w:rPr>
              <w:t>论文和著作的标题</w:t>
            </w:r>
          </w:p>
          <w:p w14:paraId="1FB2047B">
            <w:pPr>
              <w:spacing w:line="280" w:lineRule="exact"/>
              <w:jc w:val="center"/>
              <w:rPr>
                <w:sz w:val="28"/>
              </w:rPr>
            </w:pPr>
            <w:r>
              <w:rPr>
                <w:rFonts w:hint="eastAsia"/>
                <w:sz w:val="28"/>
              </w:rPr>
              <w:t>刊物、时间</w:t>
            </w:r>
          </w:p>
          <w:p w14:paraId="406A9473">
            <w:pPr>
              <w:spacing w:line="280" w:lineRule="exact"/>
              <w:jc w:val="center"/>
              <w:rPr>
                <w:rFonts w:hint="eastAsia"/>
                <w:sz w:val="28"/>
              </w:rPr>
            </w:pPr>
            <w:r>
              <w:rPr>
                <w:rFonts w:hint="eastAsia"/>
                <w:sz w:val="28"/>
              </w:rPr>
              <w:t>作者排名等</w:t>
            </w:r>
          </w:p>
        </w:tc>
        <w:tc>
          <w:tcPr>
            <w:tcW w:w="11365" w:type="dxa"/>
            <w:vMerge w:val="restart"/>
            <w:tcBorders>
              <w:left w:val="single" w:color="auto" w:sz="4" w:space="0"/>
              <w:bottom w:val="single" w:color="auto" w:sz="4" w:space="0"/>
              <w:right w:val="single" w:color="auto" w:sz="4" w:space="0"/>
            </w:tcBorders>
            <w:noWrap w:val="0"/>
            <w:vAlign w:val="center"/>
          </w:tcPr>
          <w:p w14:paraId="31C1E646">
            <w:pPr>
              <w:rPr>
                <w:rFonts w:hint="eastAsia"/>
                <w:lang w:eastAsia="zh-CN"/>
              </w:rPr>
            </w:pPr>
            <w:r>
              <w:rPr>
                <w:rFonts w:hint="eastAsia"/>
              </w:rPr>
              <w:t>2014.01</w:t>
            </w:r>
            <w:r>
              <w:rPr>
                <w:rFonts w:hint="eastAsia"/>
                <w:lang w:eastAsia="zh-CN"/>
              </w:rPr>
              <w:t>，</w:t>
            </w:r>
            <w:r>
              <w:rPr>
                <w:rFonts w:hint="eastAsia"/>
              </w:rPr>
              <w:t>“数字原生代”大学生的手机使用及手机依赖研究</w:t>
            </w:r>
            <w:r>
              <w:rPr>
                <w:rFonts w:hint="eastAsia"/>
                <w:lang w:eastAsia="zh-CN"/>
              </w:rPr>
              <w:t>，</w:t>
            </w:r>
            <w:r>
              <w:rPr>
                <w:rFonts w:hint="eastAsia"/>
              </w:rPr>
              <w:t>青年研究</w:t>
            </w:r>
            <w:r>
              <w:rPr>
                <w:rFonts w:hint="eastAsia"/>
                <w:lang w:eastAsia="zh-CN"/>
              </w:rPr>
              <w:t>（</w:t>
            </w:r>
            <w:r>
              <w:rPr>
                <w:rFonts w:hint="eastAsia"/>
              </w:rPr>
              <w:t>第一作者</w:t>
            </w:r>
            <w:r>
              <w:rPr>
                <w:rFonts w:hint="eastAsia"/>
                <w:lang w:eastAsia="zh-CN"/>
              </w:rPr>
              <w:t>）</w:t>
            </w:r>
          </w:p>
          <w:p w14:paraId="514432E4">
            <w:pPr>
              <w:rPr>
                <w:rFonts w:hint="eastAsia"/>
              </w:rPr>
            </w:pPr>
            <w:r>
              <w:rPr>
                <w:rFonts w:hint="eastAsia"/>
              </w:rPr>
              <w:t>2018.10.3</w:t>
            </w:r>
            <w:r>
              <w:rPr>
                <w:rFonts w:hint="eastAsia"/>
                <w:lang w:eastAsia="zh-CN"/>
              </w:rPr>
              <w:t>，</w:t>
            </w:r>
            <w:r>
              <w:rPr>
                <w:rFonts w:hint="eastAsia"/>
              </w:rPr>
              <w:t>坚持立德树人，培养高素质技术技能人才</w:t>
            </w:r>
            <w:r>
              <w:rPr>
                <w:rFonts w:hint="eastAsia"/>
                <w:lang w:eastAsia="zh-CN"/>
              </w:rPr>
              <w:t>，</w:t>
            </w:r>
            <w:r>
              <w:rPr>
                <w:rFonts w:hint="eastAsia"/>
              </w:rPr>
              <w:t>湖南日报</w:t>
            </w:r>
            <w:r>
              <w:rPr>
                <w:rFonts w:hint="eastAsia"/>
                <w:lang w:val="en-US" w:eastAsia="zh-CN"/>
              </w:rPr>
              <w:t>要闻</w:t>
            </w:r>
            <w:r>
              <w:rPr>
                <w:rFonts w:hint="eastAsia"/>
              </w:rPr>
              <w:t>版</w:t>
            </w:r>
            <w:r>
              <w:rPr>
                <w:rFonts w:hint="eastAsia"/>
                <w:lang w:eastAsia="zh-CN"/>
              </w:rPr>
              <w:t>（</w:t>
            </w:r>
            <w:r>
              <w:rPr>
                <w:rFonts w:hint="eastAsia"/>
              </w:rPr>
              <w:t>独著</w:t>
            </w:r>
            <w:r>
              <w:rPr>
                <w:rFonts w:hint="eastAsia"/>
                <w:lang w:eastAsia="zh-CN"/>
              </w:rPr>
              <w:t>）</w:t>
            </w:r>
            <w:r>
              <w:rPr>
                <w:rFonts w:hint="eastAsia"/>
              </w:rPr>
              <w:tab/>
            </w:r>
          </w:p>
          <w:p w14:paraId="62455AD3">
            <w:pPr>
              <w:rPr>
                <w:rFonts w:hint="eastAsia"/>
              </w:rPr>
            </w:pPr>
            <w:r>
              <w:rPr>
                <w:rFonts w:hint="eastAsia"/>
              </w:rPr>
              <w:t>2025.01.19</w:t>
            </w:r>
            <w:r>
              <w:rPr>
                <w:rFonts w:hint="eastAsia"/>
                <w:lang w:eastAsia="zh-CN"/>
              </w:rPr>
              <w:t>，</w:t>
            </w:r>
            <w:r>
              <w:rPr>
                <w:rFonts w:hint="eastAsia"/>
              </w:rPr>
              <w:t>加快数智赋能，创新高校校园文化建设</w:t>
            </w:r>
            <w:r>
              <w:rPr>
                <w:rFonts w:hint="eastAsia"/>
              </w:rPr>
              <w:tab/>
            </w:r>
            <w:r>
              <w:rPr>
                <w:rFonts w:hint="eastAsia"/>
              </w:rPr>
              <w:t>湖南日报智库版</w:t>
            </w:r>
            <w:r>
              <w:rPr>
                <w:rFonts w:hint="eastAsia"/>
                <w:lang w:eastAsia="zh-CN"/>
              </w:rPr>
              <w:t>（</w:t>
            </w:r>
            <w:r>
              <w:rPr>
                <w:rFonts w:hint="eastAsia"/>
              </w:rPr>
              <w:t>独著</w:t>
            </w:r>
            <w:r>
              <w:rPr>
                <w:rFonts w:hint="eastAsia"/>
                <w:lang w:eastAsia="zh-CN"/>
              </w:rPr>
              <w:t>）</w:t>
            </w:r>
            <w:r>
              <w:rPr>
                <w:rFonts w:hint="eastAsia"/>
              </w:rPr>
              <w:tab/>
            </w:r>
          </w:p>
          <w:p w14:paraId="2A683696">
            <w:pPr>
              <w:rPr>
                <w:rFonts w:hint="eastAsia"/>
              </w:rPr>
            </w:pPr>
            <w:r>
              <w:rPr>
                <w:rFonts w:hint="eastAsia"/>
              </w:rPr>
              <w:t>2019.01</w:t>
            </w:r>
            <w:r>
              <w:rPr>
                <w:rFonts w:hint="eastAsia"/>
                <w:lang w:eastAsia="zh-CN"/>
              </w:rPr>
              <w:t>，</w:t>
            </w:r>
            <w:r>
              <w:rPr>
                <w:rFonts w:hint="eastAsia"/>
              </w:rPr>
              <w:t>高职院校孤残学生就业援助体系探究 ——以C学院为例</w:t>
            </w:r>
            <w:r>
              <w:rPr>
                <w:rFonts w:hint="eastAsia"/>
                <w:lang w:eastAsia="zh-CN"/>
              </w:rPr>
              <w:t>，</w:t>
            </w:r>
            <w:r>
              <w:rPr>
                <w:rFonts w:hint="eastAsia"/>
              </w:rPr>
              <w:t>长沙民政职业技术学院学报</w:t>
            </w:r>
            <w:r>
              <w:rPr>
                <w:rFonts w:hint="eastAsia"/>
                <w:lang w:eastAsia="zh-CN"/>
              </w:rPr>
              <w:t>（</w:t>
            </w:r>
            <w:r>
              <w:rPr>
                <w:rFonts w:hint="eastAsia"/>
              </w:rPr>
              <w:t>第一作者</w:t>
            </w:r>
            <w:r>
              <w:rPr>
                <w:rFonts w:hint="eastAsia"/>
                <w:lang w:eastAsia="zh-CN"/>
              </w:rPr>
              <w:t>）</w:t>
            </w:r>
            <w:r>
              <w:rPr>
                <w:rFonts w:hint="eastAsia"/>
              </w:rPr>
              <w:tab/>
            </w:r>
          </w:p>
          <w:p w14:paraId="00C41B67">
            <w:pPr>
              <w:rPr>
                <w:rFonts w:hint="eastAsia"/>
              </w:rPr>
            </w:pPr>
            <w:r>
              <w:rPr>
                <w:rFonts w:hint="eastAsia"/>
              </w:rPr>
              <w:t>2024.1</w:t>
            </w:r>
            <w:r>
              <w:rPr>
                <w:rFonts w:hint="eastAsia"/>
                <w:lang w:eastAsia="zh-CN"/>
              </w:rPr>
              <w:t>，</w:t>
            </w:r>
            <w:r>
              <w:rPr>
                <w:rFonts w:hint="eastAsia"/>
              </w:rPr>
              <w:t>新时代高职院校网络思政育人体系构建探赜</w:t>
            </w:r>
            <w:r>
              <w:rPr>
                <w:rFonts w:hint="eastAsia"/>
                <w:lang w:eastAsia="zh-CN"/>
              </w:rPr>
              <w:t>，</w:t>
            </w:r>
            <w:r>
              <w:rPr>
                <w:rFonts w:hint="eastAsia"/>
              </w:rPr>
              <w:t>成才之路</w:t>
            </w:r>
            <w:r>
              <w:rPr>
                <w:rFonts w:hint="eastAsia"/>
                <w:lang w:eastAsia="zh-CN"/>
              </w:rPr>
              <w:t>（</w:t>
            </w:r>
            <w:r>
              <w:rPr>
                <w:rFonts w:hint="eastAsia"/>
              </w:rPr>
              <w:t>独著</w:t>
            </w:r>
            <w:r>
              <w:rPr>
                <w:rFonts w:hint="eastAsia"/>
                <w:lang w:eastAsia="zh-CN"/>
              </w:rPr>
              <w:t>）</w:t>
            </w:r>
            <w:r>
              <w:rPr>
                <w:rFonts w:hint="eastAsia"/>
              </w:rPr>
              <w:tab/>
            </w:r>
            <w:r>
              <w:rPr>
                <w:rFonts w:hint="eastAsia"/>
              </w:rPr>
              <w:tab/>
            </w:r>
          </w:p>
          <w:p w14:paraId="388CDD7B">
            <w:pPr>
              <w:rPr>
                <w:rFonts w:hint="eastAsia"/>
              </w:rPr>
            </w:pPr>
            <w:r>
              <w:rPr>
                <w:rFonts w:hint="eastAsia"/>
              </w:rPr>
              <w:t>2019.12</w:t>
            </w:r>
            <w:r>
              <w:rPr>
                <w:rFonts w:hint="eastAsia"/>
                <w:lang w:eastAsia="zh-CN"/>
              </w:rPr>
              <w:t>，</w:t>
            </w:r>
            <w:r>
              <w:rPr>
                <w:rFonts w:hint="eastAsia"/>
              </w:rPr>
              <w:t>高职大学生心理健康教育</w:t>
            </w:r>
            <w:r>
              <w:rPr>
                <w:rFonts w:hint="eastAsia"/>
                <w:lang w:eastAsia="zh-CN"/>
              </w:rPr>
              <w:t>，</w:t>
            </w:r>
            <w:r>
              <w:rPr>
                <w:rFonts w:hint="eastAsia"/>
              </w:rPr>
              <w:t>高等教育出版社</w:t>
            </w:r>
            <w:r>
              <w:rPr>
                <w:rFonts w:hint="eastAsia"/>
                <w:lang w:eastAsia="zh-CN"/>
              </w:rPr>
              <w:t>（</w:t>
            </w:r>
            <w:r>
              <w:rPr>
                <w:rFonts w:hint="eastAsia"/>
              </w:rPr>
              <w:t>副主编</w:t>
            </w:r>
            <w:r>
              <w:rPr>
                <w:rFonts w:hint="eastAsia"/>
                <w:lang w:eastAsia="zh-CN"/>
              </w:rPr>
              <w:t>）</w:t>
            </w:r>
          </w:p>
          <w:p w14:paraId="22F74956">
            <w:pPr>
              <w:suppressAutoHyphens/>
              <w:rPr>
                <w:rFonts w:ascii="仿宋_GB2312" w:hAnsi="宋体" w:eastAsia="仿宋_GB2312"/>
                <w:color w:val="000000"/>
                <w:szCs w:val="21"/>
              </w:rPr>
            </w:pPr>
            <w:r>
              <w:rPr>
                <w:rFonts w:hint="eastAsia"/>
              </w:rPr>
              <w:t>2025.06</w:t>
            </w:r>
            <w:r>
              <w:rPr>
                <w:rFonts w:hint="eastAsia"/>
                <w:lang w:eastAsia="zh-CN"/>
              </w:rPr>
              <w:t>，</w:t>
            </w:r>
            <w:r>
              <w:rPr>
                <w:rFonts w:hint="eastAsia"/>
              </w:rPr>
              <w:t>湖湘红色文化专题研修指南</w:t>
            </w:r>
            <w:r>
              <w:rPr>
                <w:rFonts w:hint="eastAsia"/>
                <w:lang w:eastAsia="zh-CN"/>
              </w:rPr>
              <w:t>，</w:t>
            </w:r>
            <w:r>
              <w:rPr>
                <w:rFonts w:hint="eastAsia"/>
              </w:rPr>
              <w:t>南开大学出版社</w:t>
            </w:r>
            <w:r>
              <w:rPr>
                <w:rFonts w:hint="eastAsia"/>
                <w:lang w:eastAsia="zh-CN"/>
              </w:rPr>
              <w:t>（</w:t>
            </w:r>
            <w:r>
              <w:rPr>
                <w:rFonts w:hint="eastAsia"/>
              </w:rPr>
              <w:t>主编</w:t>
            </w:r>
            <w:r>
              <w:rPr>
                <w:rFonts w:hint="eastAsia"/>
                <w:lang w:eastAsia="zh-CN"/>
              </w:rPr>
              <w:t>）</w:t>
            </w:r>
            <w:r>
              <w:rPr>
                <w:rFonts w:hint="eastAsia"/>
              </w:rPr>
              <w:tab/>
            </w:r>
          </w:p>
        </w:tc>
      </w:tr>
      <w:tr w14:paraId="4E07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1E8E4E9A">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2015.03—2017.08</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12A30F46">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长沙民政职院学生工作处、心理健康教育课教学部、就业指导中心、团委</w:t>
            </w:r>
          </w:p>
          <w:p w14:paraId="2445AC21">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先后担任学生工作处处长兼任心理健康教育课教学部部长、就业指导中心主任、团委书记</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0B585F12">
            <w:pPr>
              <w:spacing w:line="280" w:lineRule="exact"/>
              <w:jc w:val="center"/>
              <w:rPr>
                <w:rFonts w:hint="eastAsia" w:ascii="仿宋_GB2312" w:hAnsi="Times New Roman" w:eastAsia="仿宋_GB2312" w:cs="Times New Roman"/>
                <w:b w:val="0"/>
                <w:bCs w:val="0"/>
                <w:sz w:val="24"/>
                <w:szCs w:val="24"/>
                <w:lang w:val="en-US" w:eastAsia="zh-CN"/>
              </w:rPr>
            </w:pPr>
          </w:p>
        </w:tc>
        <w:tc>
          <w:tcPr>
            <w:tcW w:w="1854" w:type="dxa"/>
            <w:vMerge w:val="continue"/>
            <w:tcBorders>
              <w:left w:val="single" w:color="auto" w:sz="4" w:space="0"/>
              <w:bottom w:val="single" w:color="auto" w:sz="4" w:space="0"/>
              <w:right w:val="single" w:color="auto" w:sz="4" w:space="0"/>
            </w:tcBorders>
            <w:noWrap w:val="0"/>
            <w:vAlign w:val="top"/>
          </w:tcPr>
          <w:p w14:paraId="649EBE49">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477EA31E">
            <w:pPr>
              <w:spacing w:line="280" w:lineRule="exact"/>
              <w:rPr>
                <w:sz w:val="28"/>
              </w:rPr>
            </w:pPr>
          </w:p>
        </w:tc>
      </w:tr>
      <w:tr w14:paraId="2E7AB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17E02261">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2017.08—2023.2</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610F02D7">
            <w:pPr>
              <w:spacing w:line="280" w:lineRule="exact"/>
              <w:jc w:val="center"/>
              <w:rPr>
                <w:rFonts w:hint="eastAsia" w:ascii="仿宋_GB2312" w:hAnsi="Times New Roman" w:eastAsia="仿宋_GB2312" w:cs="Times New Roman"/>
                <w:b w:val="0"/>
                <w:bCs w:val="0"/>
                <w:sz w:val="24"/>
                <w:szCs w:val="24"/>
                <w:lang w:val="en-US" w:eastAsia="zh-CN"/>
              </w:rPr>
            </w:pPr>
          </w:p>
          <w:p w14:paraId="2134C649">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长沙民政职院宣传统战部党委委员、宣传统战部部长</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666D50D1">
            <w:pPr>
              <w:spacing w:line="280" w:lineRule="exact"/>
              <w:jc w:val="center"/>
              <w:rPr>
                <w:rFonts w:hint="default" w:ascii="仿宋_GB2312" w:hAnsi="Times New Roman" w:eastAsia="仿宋_GB2312" w:cs="Times New Roman"/>
                <w:b w:val="0"/>
                <w:bCs w:val="0"/>
                <w:sz w:val="24"/>
                <w:szCs w:val="24"/>
                <w:lang w:val="en-US" w:eastAsia="zh-CN"/>
              </w:rPr>
            </w:pPr>
          </w:p>
        </w:tc>
        <w:tc>
          <w:tcPr>
            <w:tcW w:w="1854" w:type="dxa"/>
            <w:vMerge w:val="continue"/>
            <w:tcBorders>
              <w:left w:val="single" w:color="auto" w:sz="4" w:space="0"/>
              <w:bottom w:val="single" w:color="auto" w:sz="4" w:space="0"/>
              <w:right w:val="single" w:color="auto" w:sz="4" w:space="0"/>
            </w:tcBorders>
            <w:noWrap w:val="0"/>
            <w:vAlign w:val="top"/>
          </w:tcPr>
          <w:p w14:paraId="7420A758">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61330F66">
            <w:pPr>
              <w:spacing w:line="280" w:lineRule="exact"/>
              <w:rPr>
                <w:sz w:val="28"/>
              </w:rPr>
            </w:pPr>
          </w:p>
        </w:tc>
      </w:tr>
      <w:tr w14:paraId="30EC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19F4E65C">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2023.2-2024.3</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4C21F498">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长沙民政职院党委委员、副校长</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73A45209">
            <w:pPr>
              <w:spacing w:line="280" w:lineRule="exact"/>
              <w:jc w:val="center"/>
              <w:rPr>
                <w:rFonts w:hint="default" w:ascii="仿宋_GB2312" w:hAnsi="Times New Roman" w:eastAsia="仿宋_GB2312" w:cs="Times New Roman"/>
                <w:b w:val="0"/>
                <w:bCs w:val="0"/>
                <w:sz w:val="24"/>
                <w:szCs w:val="24"/>
                <w:lang w:val="en-US" w:eastAsia="zh-CN"/>
              </w:rPr>
            </w:pPr>
          </w:p>
        </w:tc>
        <w:tc>
          <w:tcPr>
            <w:tcW w:w="1854" w:type="dxa"/>
            <w:vMerge w:val="continue"/>
            <w:tcBorders>
              <w:left w:val="single" w:color="auto" w:sz="4" w:space="0"/>
              <w:bottom w:val="single" w:color="auto" w:sz="4" w:space="0"/>
              <w:right w:val="single" w:color="auto" w:sz="4" w:space="0"/>
            </w:tcBorders>
            <w:noWrap w:val="0"/>
            <w:vAlign w:val="top"/>
          </w:tcPr>
          <w:p w14:paraId="265C4A6A">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120FC188">
            <w:pPr>
              <w:spacing w:line="280" w:lineRule="exact"/>
              <w:rPr>
                <w:sz w:val="28"/>
              </w:rPr>
            </w:pPr>
          </w:p>
        </w:tc>
      </w:tr>
      <w:tr w14:paraId="15C4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20" w:type="dxa"/>
            <w:tcBorders>
              <w:top w:val="single" w:color="auto" w:sz="4" w:space="0"/>
              <w:left w:val="single" w:color="auto" w:sz="4" w:space="0"/>
              <w:bottom w:val="single" w:color="auto" w:sz="4" w:space="0"/>
              <w:right w:val="single" w:color="auto" w:sz="4" w:space="0"/>
            </w:tcBorders>
            <w:noWrap w:val="0"/>
            <w:vAlign w:val="center"/>
          </w:tcPr>
          <w:p w14:paraId="0FF09775">
            <w:pPr>
              <w:spacing w:line="280" w:lineRule="exact"/>
              <w:jc w:val="center"/>
              <w:rPr>
                <w:rFonts w:hint="default" w:ascii="Times New Roman" w:hAnsi="Times New Roman" w:eastAsia="仿宋_GB2312" w:cs="Times New Roman"/>
                <w:b/>
                <w:bCs/>
                <w:sz w:val="16"/>
                <w:szCs w:val="16"/>
                <w:lang w:val="en-US" w:eastAsia="zh-CN"/>
              </w:rPr>
            </w:pPr>
            <w:r>
              <w:rPr>
                <w:rFonts w:hint="default" w:ascii="Times New Roman" w:hAnsi="Times New Roman" w:eastAsia="仿宋_GB2312" w:cs="Times New Roman"/>
                <w:b/>
                <w:bCs/>
                <w:sz w:val="16"/>
                <w:szCs w:val="16"/>
                <w:lang w:val="en-US" w:eastAsia="zh-CN"/>
              </w:rPr>
              <w:t>2024.3--</w:t>
            </w:r>
          </w:p>
        </w:tc>
        <w:tc>
          <w:tcPr>
            <w:tcW w:w="3960" w:type="dxa"/>
            <w:gridSpan w:val="10"/>
            <w:tcBorders>
              <w:top w:val="single" w:color="auto" w:sz="4" w:space="0"/>
              <w:left w:val="single" w:color="auto" w:sz="4" w:space="0"/>
              <w:bottom w:val="single" w:color="auto" w:sz="4" w:space="0"/>
              <w:right w:val="single" w:color="auto" w:sz="4" w:space="0"/>
            </w:tcBorders>
            <w:noWrap w:val="0"/>
            <w:vAlign w:val="center"/>
          </w:tcPr>
          <w:p w14:paraId="0F67230B">
            <w:pPr>
              <w:spacing w:line="280" w:lineRule="exact"/>
              <w:jc w:val="center"/>
              <w:rPr>
                <w:rFonts w:hint="eastAsia" w:ascii="仿宋_GB2312" w:hAnsi="Times New Roman" w:eastAsia="仿宋_GB2312" w:cs="Times New Roman"/>
                <w:b w:val="0"/>
                <w:bCs w:val="0"/>
                <w:sz w:val="24"/>
                <w:szCs w:val="24"/>
                <w:lang w:val="en-US" w:eastAsia="zh-CN"/>
              </w:rPr>
            </w:pPr>
            <w:r>
              <w:rPr>
                <w:rFonts w:hint="eastAsia" w:ascii="仿宋_GB2312" w:hAnsi="Times New Roman" w:eastAsia="仿宋_GB2312" w:cs="Times New Roman"/>
                <w:b w:val="0"/>
                <w:bCs w:val="0"/>
                <w:sz w:val="24"/>
                <w:szCs w:val="24"/>
                <w:lang w:val="en-US" w:eastAsia="zh-CN"/>
              </w:rPr>
              <w:t>湖南食品药品职业学院党委副书记</w:t>
            </w:r>
          </w:p>
        </w:tc>
        <w:tc>
          <w:tcPr>
            <w:tcW w:w="2034" w:type="dxa"/>
            <w:gridSpan w:val="3"/>
            <w:tcBorders>
              <w:top w:val="single" w:color="auto" w:sz="4" w:space="0"/>
              <w:left w:val="single" w:color="auto" w:sz="4" w:space="0"/>
              <w:bottom w:val="single" w:color="auto" w:sz="4" w:space="0"/>
              <w:right w:val="single" w:color="auto" w:sz="4" w:space="0"/>
            </w:tcBorders>
            <w:noWrap w:val="0"/>
            <w:vAlign w:val="center"/>
          </w:tcPr>
          <w:p w14:paraId="023FF547">
            <w:pPr>
              <w:spacing w:line="280" w:lineRule="exact"/>
              <w:jc w:val="center"/>
              <w:rPr>
                <w:rFonts w:hint="eastAsia"/>
                <w:sz w:val="28"/>
              </w:rPr>
            </w:pPr>
          </w:p>
        </w:tc>
        <w:tc>
          <w:tcPr>
            <w:tcW w:w="1854" w:type="dxa"/>
            <w:vMerge w:val="continue"/>
            <w:tcBorders>
              <w:left w:val="single" w:color="auto" w:sz="4" w:space="0"/>
              <w:bottom w:val="single" w:color="auto" w:sz="4" w:space="0"/>
              <w:right w:val="single" w:color="auto" w:sz="4" w:space="0"/>
            </w:tcBorders>
            <w:noWrap w:val="0"/>
            <w:vAlign w:val="top"/>
          </w:tcPr>
          <w:p w14:paraId="5F9D3765">
            <w:pPr>
              <w:spacing w:line="280" w:lineRule="exact"/>
              <w:rPr>
                <w:sz w:val="28"/>
              </w:rPr>
            </w:pPr>
          </w:p>
        </w:tc>
        <w:tc>
          <w:tcPr>
            <w:tcW w:w="11365" w:type="dxa"/>
            <w:vMerge w:val="continue"/>
            <w:tcBorders>
              <w:left w:val="single" w:color="auto" w:sz="4" w:space="0"/>
              <w:bottom w:val="single" w:color="auto" w:sz="4" w:space="0"/>
              <w:right w:val="single" w:color="auto" w:sz="4" w:space="0"/>
            </w:tcBorders>
            <w:noWrap w:val="0"/>
            <w:vAlign w:val="top"/>
          </w:tcPr>
          <w:p w14:paraId="1BFC29F8">
            <w:pPr>
              <w:spacing w:line="280" w:lineRule="exact"/>
              <w:rPr>
                <w:sz w:val="28"/>
              </w:rPr>
            </w:pPr>
          </w:p>
        </w:tc>
      </w:tr>
      <w:tr w14:paraId="1EC40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7514" w:type="dxa"/>
            <w:gridSpan w:val="14"/>
            <w:tcBorders>
              <w:top w:val="single" w:color="auto" w:sz="4" w:space="0"/>
              <w:left w:val="single" w:color="auto" w:sz="4" w:space="0"/>
              <w:bottom w:val="single" w:color="auto" w:sz="4" w:space="0"/>
              <w:right w:val="single" w:color="auto" w:sz="4" w:space="0"/>
            </w:tcBorders>
            <w:noWrap w:val="0"/>
            <w:vAlign w:val="center"/>
          </w:tcPr>
          <w:p w14:paraId="4FD0607B">
            <w:pPr>
              <w:widowControl/>
              <w:spacing w:line="280" w:lineRule="exact"/>
              <w:jc w:val="center"/>
              <w:rPr>
                <w:sz w:val="28"/>
              </w:rPr>
            </w:pPr>
            <w:r>
              <w:rPr>
                <w:rFonts w:hint="eastAsia"/>
                <w:sz w:val="28"/>
              </w:rPr>
              <w:t>近五年年度考核情况</w:t>
            </w:r>
          </w:p>
        </w:tc>
        <w:tc>
          <w:tcPr>
            <w:tcW w:w="1854" w:type="dxa"/>
            <w:vMerge w:val="continue"/>
            <w:tcBorders>
              <w:top w:val="single" w:color="auto" w:sz="4" w:space="0"/>
              <w:left w:val="single" w:color="auto" w:sz="4" w:space="0"/>
              <w:bottom w:val="single" w:color="auto" w:sz="4" w:space="0"/>
              <w:right w:val="single" w:color="auto" w:sz="4" w:space="0"/>
            </w:tcBorders>
            <w:noWrap w:val="0"/>
            <w:vAlign w:val="top"/>
          </w:tcPr>
          <w:p w14:paraId="79FB247A">
            <w:pPr>
              <w:spacing w:line="280" w:lineRule="exact"/>
              <w:rPr>
                <w:sz w:val="28"/>
              </w:rPr>
            </w:pPr>
          </w:p>
        </w:tc>
        <w:tc>
          <w:tcPr>
            <w:tcW w:w="11365" w:type="dxa"/>
            <w:vMerge w:val="continue"/>
            <w:tcBorders>
              <w:left w:val="single" w:color="auto" w:sz="4" w:space="0"/>
              <w:right w:val="single" w:color="auto" w:sz="4" w:space="0"/>
            </w:tcBorders>
            <w:noWrap w:val="0"/>
            <w:vAlign w:val="top"/>
          </w:tcPr>
          <w:p w14:paraId="4ABBDA48">
            <w:pPr>
              <w:spacing w:line="280" w:lineRule="exact"/>
              <w:rPr>
                <w:sz w:val="28"/>
              </w:rPr>
            </w:pPr>
          </w:p>
        </w:tc>
      </w:tr>
      <w:tr w14:paraId="10E9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93" w:type="dxa"/>
            <w:gridSpan w:val="2"/>
            <w:tcBorders>
              <w:top w:val="single" w:color="auto" w:sz="4" w:space="0"/>
              <w:left w:val="single" w:color="auto" w:sz="4" w:space="0"/>
              <w:bottom w:val="single" w:color="auto" w:sz="4" w:space="0"/>
              <w:right w:val="single" w:color="auto" w:sz="4" w:space="0"/>
            </w:tcBorders>
            <w:noWrap w:val="0"/>
            <w:vAlign w:val="center"/>
          </w:tcPr>
          <w:p w14:paraId="4122A03F">
            <w:pPr>
              <w:spacing w:line="280" w:lineRule="exact"/>
              <w:jc w:val="center"/>
              <w:rPr>
                <w:sz w:val="28"/>
              </w:rPr>
            </w:pPr>
            <w:r>
              <w:rPr>
                <w:rFonts w:hint="eastAsia"/>
                <w:sz w:val="28"/>
              </w:rPr>
              <w:t>年    度</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F643A81">
            <w:pPr>
              <w:spacing w:line="280" w:lineRule="exact"/>
              <w:jc w:val="center"/>
              <w:rPr>
                <w:rFonts w:hint="default" w:eastAsia="宋体"/>
                <w:sz w:val="28"/>
                <w:lang w:val="en-US" w:eastAsia="zh-CN"/>
              </w:rPr>
            </w:pPr>
            <w:r>
              <w:rPr>
                <w:rFonts w:hint="eastAsia"/>
                <w:sz w:val="28"/>
              </w:rPr>
              <w:t>20</w:t>
            </w:r>
            <w:r>
              <w:rPr>
                <w:rFonts w:hint="eastAsia"/>
                <w:sz w:val="28"/>
                <w:lang w:val="en-US" w:eastAsia="zh-CN"/>
              </w:rPr>
              <w:t>21</w:t>
            </w:r>
          </w:p>
        </w:tc>
        <w:tc>
          <w:tcPr>
            <w:tcW w:w="1008" w:type="dxa"/>
            <w:gridSpan w:val="3"/>
            <w:tcBorders>
              <w:top w:val="single" w:color="auto" w:sz="4" w:space="0"/>
              <w:left w:val="single" w:color="auto" w:sz="4" w:space="0"/>
              <w:bottom w:val="single" w:color="auto" w:sz="4" w:space="0"/>
              <w:right w:val="single" w:color="auto" w:sz="4" w:space="0"/>
            </w:tcBorders>
            <w:noWrap w:val="0"/>
            <w:vAlign w:val="center"/>
          </w:tcPr>
          <w:p w14:paraId="589C94DA">
            <w:pPr>
              <w:spacing w:line="280" w:lineRule="exact"/>
              <w:jc w:val="center"/>
              <w:rPr>
                <w:rFonts w:hint="default" w:eastAsia="宋体"/>
                <w:sz w:val="28"/>
                <w:lang w:val="en-US" w:eastAsia="zh-CN"/>
              </w:rPr>
            </w:pPr>
            <w:r>
              <w:rPr>
                <w:rFonts w:hint="eastAsia"/>
                <w:sz w:val="28"/>
              </w:rPr>
              <w:t>20</w:t>
            </w:r>
            <w:r>
              <w:rPr>
                <w:rFonts w:hint="eastAsia"/>
                <w:sz w:val="28"/>
                <w:lang w:val="en-US" w:eastAsia="zh-CN"/>
              </w:rPr>
              <w:t>22</w:t>
            </w:r>
          </w:p>
        </w:tc>
        <w:tc>
          <w:tcPr>
            <w:tcW w:w="1008" w:type="dxa"/>
            <w:gridSpan w:val="2"/>
            <w:tcBorders>
              <w:top w:val="single" w:color="auto" w:sz="4" w:space="0"/>
              <w:left w:val="single" w:color="auto" w:sz="4" w:space="0"/>
              <w:bottom w:val="single" w:color="auto" w:sz="4" w:space="0"/>
              <w:right w:val="single" w:color="auto" w:sz="4" w:space="0"/>
            </w:tcBorders>
            <w:noWrap w:val="0"/>
            <w:vAlign w:val="center"/>
          </w:tcPr>
          <w:p w14:paraId="43A222A5">
            <w:pPr>
              <w:spacing w:line="280" w:lineRule="exact"/>
              <w:jc w:val="center"/>
              <w:rPr>
                <w:rFonts w:hint="default" w:eastAsia="宋体"/>
                <w:sz w:val="28"/>
                <w:lang w:val="en-US" w:eastAsia="zh-CN"/>
              </w:rPr>
            </w:pPr>
            <w:r>
              <w:rPr>
                <w:rFonts w:hint="eastAsia"/>
                <w:sz w:val="28"/>
              </w:rPr>
              <w:t>20</w:t>
            </w:r>
            <w:r>
              <w:rPr>
                <w:rFonts w:hint="eastAsia"/>
                <w:sz w:val="28"/>
                <w:lang w:val="en-US" w:eastAsia="zh-CN"/>
              </w:rPr>
              <w:t>23</w:t>
            </w:r>
          </w:p>
        </w:tc>
        <w:tc>
          <w:tcPr>
            <w:tcW w:w="1008" w:type="dxa"/>
            <w:gridSpan w:val="4"/>
            <w:tcBorders>
              <w:top w:val="single" w:color="auto" w:sz="4" w:space="0"/>
              <w:left w:val="single" w:color="auto" w:sz="4" w:space="0"/>
              <w:bottom w:val="single" w:color="auto" w:sz="4" w:space="0"/>
              <w:right w:val="single" w:color="auto" w:sz="4" w:space="0"/>
            </w:tcBorders>
            <w:noWrap w:val="0"/>
            <w:vAlign w:val="center"/>
          </w:tcPr>
          <w:p w14:paraId="2006A88F">
            <w:pPr>
              <w:spacing w:line="280" w:lineRule="exact"/>
              <w:jc w:val="center"/>
              <w:rPr>
                <w:rFonts w:hint="default" w:eastAsia="宋体"/>
                <w:sz w:val="28"/>
                <w:lang w:val="en-US" w:eastAsia="zh-CN"/>
              </w:rPr>
            </w:pPr>
            <w:r>
              <w:rPr>
                <w:rFonts w:hint="eastAsia"/>
                <w:sz w:val="28"/>
              </w:rPr>
              <w:t>20</w:t>
            </w:r>
            <w:r>
              <w:rPr>
                <w:rFonts w:hint="eastAsia"/>
                <w:sz w:val="28"/>
                <w:lang w:val="en-US" w:eastAsia="zh-CN"/>
              </w:rPr>
              <w:t>24</w:t>
            </w:r>
          </w:p>
        </w:tc>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13B90E2D">
            <w:pPr>
              <w:spacing w:line="280" w:lineRule="exact"/>
              <w:jc w:val="center"/>
              <w:rPr>
                <w:rFonts w:hint="default" w:eastAsia="宋体"/>
                <w:sz w:val="28"/>
                <w:lang w:val="en-US" w:eastAsia="zh-CN"/>
              </w:rPr>
            </w:pPr>
            <w:r>
              <w:rPr>
                <w:rFonts w:hint="eastAsia"/>
                <w:sz w:val="28"/>
              </w:rPr>
              <w:t>20</w:t>
            </w:r>
            <w:r>
              <w:rPr>
                <w:rFonts w:hint="eastAsia"/>
                <w:sz w:val="28"/>
                <w:lang w:val="en-US" w:eastAsia="zh-CN"/>
              </w:rPr>
              <w:t>25</w:t>
            </w:r>
          </w:p>
        </w:tc>
        <w:tc>
          <w:tcPr>
            <w:tcW w:w="1854" w:type="dxa"/>
            <w:vMerge w:val="continue"/>
            <w:tcBorders>
              <w:top w:val="single" w:color="auto" w:sz="4" w:space="0"/>
              <w:left w:val="single" w:color="auto" w:sz="4" w:space="0"/>
              <w:bottom w:val="single" w:color="auto" w:sz="4" w:space="0"/>
              <w:right w:val="single" w:color="auto" w:sz="4" w:space="0"/>
            </w:tcBorders>
            <w:noWrap w:val="0"/>
            <w:vAlign w:val="top"/>
          </w:tcPr>
          <w:p w14:paraId="3B643A79">
            <w:pPr>
              <w:spacing w:line="280" w:lineRule="exact"/>
              <w:rPr>
                <w:sz w:val="28"/>
              </w:rPr>
            </w:pPr>
          </w:p>
        </w:tc>
        <w:tc>
          <w:tcPr>
            <w:tcW w:w="11365" w:type="dxa"/>
            <w:vMerge w:val="continue"/>
            <w:tcBorders>
              <w:left w:val="single" w:color="auto" w:sz="4" w:space="0"/>
              <w:right w:val="single" w:color="auto" w:sz="4" w:space="0"/>
            </w:tcBorders>
            <w:noWrap w:val="0"/>
            <w:vAlign w:val="top"/>
          </w:tcPr>
          <w:p w14:paraId="6AAD295C">
            <w:pPr>
              <w:spacing w:line="280" w:lineRule="exact"/>
              <w:rPr>
                <w:sz w:val="28"/>
              </w:rPr>
            </w:pPr>
          </w:p>
        </w:tc>
      </w:tr>
      <w:tr w14:paraId="67B5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593" w:type="dxa"/>
            <w:gridSpan w:val="2"/>
            <w:tcBorders>
              <w:top w:val="single" w:color="auto" w:sz="4" w:space="0"/>
              <w:left w:val="single" w:color="auto" w:sz="4" w:space="0"/>
              <w:bottom w:val="single" w:color="auto" w:sz="4" w:space="0"/>
              <w:right w:val="single" w:color="auto" w:sz="4" w:space="0"/>
            </w:tcBorders>
            <w:noWrap w:val="0"/>
            <w:vAlign w:val="center"/>
          </w:tcPr>
          <w:p w14:paraId="49B064AE">
            <w:pPr>
              <w:spacing w:line="280" w:lineRule="exact"/>
              <w:jc w:val="center"/>
              <w:rPr>
                <w:sz w:val="28"/>
              </w:rPr>
            </w:pPr>
            <w:r>
              <w:rPr>
                <w:rFonts w:hint="eastAsia"/>
                <w:sz w:val="28"/>
              </w:rPr>
              <w:t>考核情况</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3214E470">
            <w:pPr>
              <w:spacing w:line="280" w:lineRule="exact"/>
              <w:jc w:val="center"/>
              <w:rPr>
                <w:rFonts w:hint="eastAsia" w:eastAsia="宋体"/>
                <w:sz w:val="28"/>
                <w:lang w:val="en-US" w:eastAsia="zh-CN"/>
              </w:rPr>
            </w:pPr>
            <w:r>
              <w:rPr>
                <w:rFonts w:hint="eastAsia"/>
                <w:sz w:val="28"/>
                <w:lang w:val="en-US" w:eastAsia="zh-CN"/>
              </w:rPr>
              <w:t>合格</w:t>
            </w:r>
          </w:p>
        </w:tc>
        <w:tc>
          <w:tcPr>
            <w:tcW w:w="1008" w:type="dxa"/>
            <w:gridSpan w:val="3"/>
            <w:tcBorders>
              <w:top w:val="single" w:color="auto" w:sz="4" w:space="0"/>
              <w:left w:val="single" w:color="auto" w:sz="4" w:space="0"/>
              <w:bottom w:val="single" w:color="auto" w:sz="4" w:space="0"/>
              <w:right w:val="single" w:color="auto" w:sz="4" w:space="0"/>
            </w:tcBorders>
            <w:noWrap w:val="0"/>
            <w:vAlign w:val="center"/>
          </w:tcPr>
          <w:p w14:paraId="1113499D">
            <w:pPr>
              <w:spacing w:line="280" w:lineRule="exact"/>
              <w:jc w:val="center"/>
              <w:rPr>
                <w:rFonts w:hint="eastAsia" w:eastAsia="宋体"/>
                <w:sz w:val="28"/>
                <w:lang w:val="en-US" w:eastAsia="zh-CN"/>
              </w:rPr>
            </w:pPr>
            <w:r>
              <w:rPr>
                <w:rFonts w:hint="eastAsia"/>
                <w:sz w:val="28"/>
                <w:lang w:val="en-US" w:eastAsia="zh-CN"/>
              </w:rPr>
              <w:t>合格</w:t>
            </w:r>
          </w:p>
        </w:tc>
        <w:tc>
          <w:tcPr>
            <w:tcW w:w="1008" w:type="dxa"/>
            <w:gridSpan w:val="2"/>
            <w:tcBorders>
              <w:top w:val="single" w:color="auto" w:sz="4" w:space="0"/>
              <w:left w:val="single" w:color="auto" w:sz="4" w:space="0"/>
              <w:bottom w:val="single" w:color="auto" w:sz="4" w:space="0"/>
              <w:right w:val="single" w:color="auto" w:sz="4" w:space="0"/>
            </w:tcBorders>
            <w:noWrap w:val="0"/>
            <w:vAlign w:val="center"/>
          </w:tcPr>
          <w:p w14:paraId="5F8AA250">
            <w:pPr>
              <w:spacing w:line="280" w:lineRule="exact"/>
              <w:jc w:val="center"/>
              <w:rPr>
                <w:rFonts w:hint="eastAsia" w:eastAsia="宋体"/>
                <w:sz w:val="28"/>
                <w:lang w:val="en-US" w:eastAsia="zh-CN"/>
              </w:rPr>
            </w:pPr>
            <w:r>
              <w:rPr>
                <w:rFonts w:hint="eastAsia"/>
                <w:sz w:val="28"/>
                <w:lang w:val="en-US" w:eastAsia="zh-CN"/>
              </w:rPr>
              <w:t>合格</w:t>
            </w:r>
          </w:p>
        </w:tc>
        <w:tc>
          <w:tcPr>
            <w:tcW w:w="1008" w:type="dxa"/>
            <w:gridSpan w:val="4"/>
            <w:tcBorders>
              <w:top w:val="single" w:color="auto" w:sz="4" w:space="0"/>
              <w:left w:val="single" w:color="auto" w:sz="4" w:space="0"/>
              <w:bottom w:val="single" w:color="auto" w:sz="4" w:space="0"/>
              <w:right w:val="single" w:color="auto" w:sz="4" w:space="0"/>
            </w:tcBorders>
            <w:noWrap w:val="0"/>
            <w:vAlign w:val="center"/>
          </w:tcPr>
          <w:p w14:paraId="38B3D279">
            <w:pPr>
              <w:spacing w:line="280" w:lineRule="exact"/>
              <w:jc w:val="center"/>
              <w:rPr>
                <w:rFonts w:hint="eastAsia" w:eastAsia="宋体"/>
                <w:sz w:val="28"/>
                <w:lang w:val="en-US" w:eastAsia="zh-CN"/>
              </w:rPr>
            </w:pPr>
            <w:r>
              <w:rPr>
                <w:rFonts w:hint="eastAsia"/>
                <w:sz w:val="28"/>
                <w:lang w:val="en-US" w:eastAsia="zh-CN"/>
              </w:rPr>
              <w:t>优秀</w:t>
            </w:r>
          </w:p>
        </w:tc>
        <w:tc>
          <w:tcPr>
            <w:tcW w:w="1889" w:type="dxa"/>
            <w:gridSpan w:val="2"/>
            <w:tcBorders>
              <w:top w:val="single" w:color="auto" w:sz="4" w:space="0"/>
              <w:left w:val="single" w:color="auto" w:sz="4" w:space="0"/>
              <w:bottom w:val="single" w:color="auto" w:sz="4" w:space="0"/>
              <w:right w:val="single" w:color="auto" w:sz="4" w:space="0"/>
            </w:tcBorders>
            <w:noWrap w:val="0"/>
            <w:vAlign w:val="center"/>
          </w:tcPr>
          <w:p w14:paraId="39680F35">
            <w:pPr>
              <w:spacing w:line="280" w:lineRule="exact"/>
              <w:jc w:val="center"/>
              <w:rPr>
                <w:rFonts w:hint="eastAsia" w:eastAsia="宋体"/>
                <w:sz w:val="28"/>
                <w:lang w:val="en-US" w:eastAsia="zh-CN"/>
              </w:rPr>
            </w:pPr>
            <w:r>
              <w:rPr>
                <w:rFonts w:hint="eastAsia"/>
                <w:sz w:val="28"/>
                <w:lang w:val="en-US" w:eastAsia="zh-CN"/>
              </w:rPr>
              <w:t>合格</w:t>
            </w:r>
          </w:p>
        </w:tc>
        <w:tc>
          <w:tcPr>
            <w:tcW w:w="1854" w:type="dxa"/>
            <w:tcBorders>
              <w:top w:val="single" w:color="auto" w:sz="4" w:space="0"/>
              <w:left w:val="single" w:color="auto" w:sz="4" w:space="0"/>
              <w:bottom w:val="single" w:color="auto" w:sz="4" w:space="0"/>
              <w:right w:val="single" w:color="auto" w:sz="4" w:space="0"/>
            </w:tcBorders>
            <w:noWrap w:val="0"/>
            <w:vAlign w:val="center"/>
          </w:tcPr>
          <w:p w14:paraId="0747BA71">
            <w:pPr>
              <w:spacing w:line="280" w:lineRule="exact"/>
              <w:jc w:val="center"/>
              <w:rPr>
                <w:sz w:val="28"/>
              </w:rPr>
            </w:pPr>
            <w:r>
              <w:rPr>
                <w:rFonts w:hint="eastAsia"/>
                <w:sz w:val="28"/>
              </w:rPr>
              <w:t>备注</w:t>
            </w:r>
          </w:p>
        </w:tc>
        <w:tc>
          <w:tcPr>
            <w:tcW w:w="11365" w:type="dxa"/>
            <w:tcBorders>
              <w:left w:val="single" w:color="auto" w:sz="4" w:space="0"/>
              <w:bottom w:val="single" w:color="auto" w:sz="4" w:space="0"/>
              <w:right w:val="single" w:color="auto" w:sz="4" w:space="0"/>
            </w:tcBorders>
            <w:noWrap w:val="0"/>
            <w:vAlign w:val="top"/>
          </w:tcPr>
          <w:p w14:paraId="4E0C10B0">
            <w:pPr>
              <w:spacing w:line="280" w:lineRule="exact"/>
              <w:rPr>
                <w:sz w:val="28"/>
              </w:rPr>
            </w:pPr>
          </w:p>
        </w:tc>
      </w:tr>
    </w:tbl>
    <w:p w14:paraId="4EB4E1F7">
      <w:pPr>
        <w:spacing w:line="280" w:lineRule="exact"/>
        <w:ind w:firstLine="69" w:firstLineChars="33"/>
        <w:rPr>
          <w:rFonts w:hint="eastAsia"/>
          <w:sz w:val="28"/>
        </w:rPr>
      </w:pPr>
      <w:r>
        <w:rPr>
          <w:rFonts w:hint="eastAsia"/>
        </w:rPr>
        <w:t xml:space="preserve">  </w:t>
      </w:r>
      <w:r>
        <w:rPr>
          <w:rFonts w:hint="eastAsia"/>
          <w:sz w:val="28"/>
        </w:rPr>
        <w:t xml:space="preserve"> </w:t>
      </w:r>
    </w:p>
    <w:p w14:paraId="5BD70DAA">
      <w:pPr>
        <w:spacing w:line="280" w:lineRule="exact"/>
        <w:ind w:firstLine="372" w:firstLineChars="133"/>
        <w:rPr>
          <w:rFonts w:hint="eastAsia"/>
          <w:sz w:val="28"/>
        </w:rPr>
      </w:pPr>
      <w:r>
        <w:rPr>
          <w:rFonts w:hint="eastAsia"/>
          <w:sz w:val="28"/>
        </w:rPr>
        <w:t>公示时间：                              公示结果：                                       负责人：</w:t>
      </w:r>
      <w:r>
        <w:rPr>
          <w:sz w:val="28"/>
        </w:rPr>
        <w:t xml:space="preserve"> </w:t>
      </w:r>
      <w:r>
        <w:rPr>
          <w:rFonts w:hint="eastAsia"/>
          <w:sz w:val="28"/>
        </w:rPr>
        <w:t xml:space="preserve">                     单位（公章）：</w:t>
      </w:r>
    </w:p>
    <w:p w14:paraId="1A5D3672">
      <w:pPr>
        <w:spacing w:line="280" w:lineRule="exact"/>
        <w:ind w:firstLine="17780" w:firstLineChars="6350"/>
        <w:rPr>
          <w:rFonts w:hint="eastAsia"/>
          <w:sz w:val="28"/>
        </w:rPr>
      </w:pPr>
      <w:r>
        <w:rPr>
          <w:rFonts w:hint="eastAsia"/>
          <w:sz w:val="28"/>
        </w:rPr>
        <w:t>年</w:t>
      </w:r>
      <w:r>
        <w:rPr>
          <w:sz w:val="28"/>
        </w:rPr>
        <w:t xml:space="preserve">    </w:t>
      </w:r>
      <w:r>
        <w:rPr>
          <w:rFonts w:hint="eastAsia"/>
          <w:sz w:val="28"/>
        </w:rPr>
        <w:t>月</w:t>
      </w:r>
      <w:r>
        <w:rPr>
          <w:sz w:val="28"/>
        </w:rPr>
        <w:t xml:space="preserve">    </w:t>
      </w:r>
      <w:r>
        <w:rPr>
          <w:rFonts w:hint="eastAsia"/>
          <w:sz w:val="28"/>
        </w:rPr>
        <w:t>日</w:t>
      </w:r>
    </w:p>
    <w:p w14:paraId="2F68A547">
      <w:pPr>
        <w:spacing w:line="280" w:lineRule="exact"/>
        <w:ind w:firstLine="372" w:firstLineChars="133"/>
        <w:rPr>
          <w:rFonts w:hint="eastAsia"/>
          <w:b/>
          <w:bCs/>
        </w:rPr>
      </w:pPr>
      <w:r>
        <w:rPr>
          <w:sz w:val="28"/>
        </w:rPr>
        <w:t xml:space="preserve">               </w:t>
      </w:r>
      <w:r>
        <w:rPr>
          <w:rFonts w:hint="eastAsia"/>
          <w:sz w:val="28"/>
        </w:rPr>
        <w:t xml:space="preserve">     </w:t>
      </w:r>
      <w:r>
        <w:rPr>
          <w:rFonts w:eastAsia="黑体"/>
          <w:sz w:val="28"/>
        </w:rPr>
        <w:t xml:space="preserve"> </w:t>
      </w:r>
      <w:r>
        <w:rPr>
          <w:sz w:val="28"/>
        </w:rPr>
        <w:t xml:space="preserve"> </w:t>
      </w:r>
      <w:r>
        <w:rPr>
          <w:b/>
          <w:bCs/>
        </w:rPr>
        <w:t xml:space="preserve">                                                                                       </w:t>
      </w:r>
    </w:p>
    <w:p w14:paraId="77623495"/>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B84F4E"/>
    <w:rsid w:val="6AB84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2026-07-24T03:06:00Z</dcterms:created>
  <dc:creator>吴猛</dc:creator>
  <cp:lastModifiedBy>吴猛</cp:lastModifiedBy>
  <dcterms:modified xsi:type="dcterms:W3CDTF">2026-07-24T03:07:16Z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5212E3399F014C90A04074D815D49784_11</vt:lpwstr>
  </property>
  <property fmtid="{D5CDD505-2E9C-101B-9397-08002B2CF9AE}" pid="4" name="KSOTemplateDocerSaveRecord">
    <vt:lpwstr>eyJoZGlkIjoiNDU1ZTQwZDExOTM3MDhkNjZiMTRkYmEzYzlhYmI4ZGEiLCJ1c2VySWQiOiIzMTM5Mzc2MjIifQ==</vt:lpwstr>
  </property>
</Properties>
</file>